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24" w:rsidRPr="00CB45E2" w:rsidRDefault="00AD1A24" w:rsidP="00AD1A24">
      <w:pPr>
        <w:pStyle w:val="Sidehoved"/>
        <w:rPr>
          <w:rFonts w:ascii="Arial Black" w:hAnsi="Arial Black"/>
          <w:color w:val="8DB3E2" w:themeColor="text2" w:themeTint="66"/>
          <w:sz w:val="36"/>
          <w:szCs w:val="36"/>
        </w:rPr>
      </w:pPr>
      <w:r>
        <w:rPr>
          <w:noProof/>
        </w:rPr>
        <w:drawing>
          <wp:inline distT="0" distB="0" distL="0" distR="0" wp14:anchorId="4174448D" wp14:editId="2476A82C">
            <wp:extent cx="1333500" cy="638175"/>
            <wp:effectExtent l="0" t="0" r="0" b="9525"/>
            <wp:docPr id="3" name="Billede 3" descr="http://www.kreditsikring.dk/experian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http://www.kreditsikring.dk/experianlogo.jpg"/>
                    <pic:cNvPicPr/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8DB3E2" w:themeColor="text2" w:themeTint="66"/>
          <w:sz w:val="28"/>
          <w:szCs w:val="28"/>
        </w:rPr>
        <w:tab/>
      </w:r>
      <w:r>
        <w:rPr>
          <w:rFonts w:ascii="Arial Black" w:hAnsi="Arial Black"/>
          <w:color w:val="8DB3E2" w:themeColor="text2" w:themeTint="66"/>
          <w:sz w:val="28"/>
          <w:szCs w:val="28"/>
        </w:rPr>
        <w:tab/>
      </w:r>
      <w:r>
        <w:rPr>
          <w:rFonts w:ascii="Arial Black" w:hAnsi="Arial Black"/>
          <w:color w:val="8DB3E2" w:themeColor="text2" w:themeTint="66"/>
          <w:sz w:val="28"/>
          <w:szCs w:val="28"/>
        </w:rPr>
        <w:t>Nyetableringer 1. halvår</w:t>
      </w:r>
      <w:r w:rsidRPr="00CB45E2">
        <w:rPr>
          <w:rFonts w:ascii="Arial Black" w:hAnsi="Arial Black"/>
          <w:color w:val="8DB3E2" w:themeColor="text2" w:themeTint="66"/>
          <w:sz w:val="28"/>
          <w:szCs w:val="28"/>
        </w:rPr>
        <w:t xml:space="preserve"> </w:t>
      </w:r>
      <w:bookmarkStart w:id="0" w:name="_GoBack"/>
      <w:bookmarkEnd w:id="0"/>
      <w:r w:rsidRPr="00CB45E2">
        <w:rPr>
          <w:rFonts w:ascii="Arial Black" w:hAnsi="Arial Black"/>
          <w:color w:val="8DB3E2" w:themeColor="text2" w:themeTint="66"/>
          <w:sz w:val="28"/>
          <w:szCs w:val="28"/>
        </w:rPr>
        <w:t>2014</w:t>
      </w:r>
    </w:p>
    <w:p w:rsidR="00AD1A24" w:rsidRDefault="00AD1A24" w:rsidP="0003757E">
      <w:pPr>
        <w:rPr>
          <w:rFonts w:ascii="Arial" w:hAnsi="Arial"/>
          <w:b/>
          <w:spacing w:val="6"/>
          <w:sz w:val="22"/>
          <w:szCs w:val="22"/>
        </w:rPr>
      </w:pPr>
    </w:p>
    <w:p w:rsidR="00AD1A24" w:rsidRDefault="00AD1A24" w:rsidP="0003757E">
      <w:pPr>
        <w:rPr>
          <w:rFonts w:ascii="Arial" w:hAnsi="Arial"/>
          <w:b/>
          <w:spacing w:val="6"/>
          <w:sz w:val="22"/>
          <w:szCs w:val="22"/>
        </w:rPr>
      </w:pPr>
    </w:p>
    <w:p w:rsidR="00AD1A24" w:rsidRDefault="00AD1A24" w:rsidP="00AD1A24">
      <w:pPr>
        <w:pStyle w:val="Overskrift1"/>
        <w:ind w:left="1304"/>
        <w:jc w:val="right"/>
        <w:rPr>
          <w:rFonts w:ascii="Arial" w:hAnsi="Arial"/>
          <w:spacing w:val="6"/>
          <w:sz w:val="28"/>
          <w:u w:val="none"/>
        </w:rPr>
      </w:pPr>
      <w:r>
        <w:rPr>
          <w:rFonts w:ascii="Arial" w:hAnsi="Arial"/>
          <w:noProof/>
          <w:spacing w:val="6"/>
          <w:sz w:val="18"/>
          <w:u w:val="none"/>
        </w:rPr>
        <w:t>6</w:t>
      </w:r>
      <w:r>
        <w:rPr>
          <w:rFonts w:ascii="Arial" w:hAnsi="Arial"/>
          <w:noProof/>
          <w:spacing w:val="6"/>
          <w:sz w:val="18"/>
          <w:u w:val="none"/>
        </w:rPr>
        <w:t xml:space="preserve">. juli </w:t>
      </w:r>
      <w:r>
        <w:rPr>
          <w:rFonts w:ascii="Arial" w:hAnsi="Arial"/>
          <w:spacing w:val="6"/>
          <w:sz w:val="18"/>
          <w:u w:val="none"/>
        </w:rPr>
        <w:t>2014</w:t>
      </w:r>
    </w:p>
    <w:p w:rsidR="00AD1A24" w:rsidRDefault="00AD1A24" w:rsidP="0003757E">
      <w:pPr>
        <w:rPr>
          <w:rFonts w:ascii="Arial" w:hAnsi="Arial"/>
          <w:b/>
          <w:spacing w:val="6"/>
          <w:sz w:val="22"/>
          <w:szCs w:val="22"/>
        </w:rPr>
      </w:pPr>
    </w:p>
    <w:p w:rsidR="0035350B" w:rsidRDefault="00B20072" w:rsidP="0003757E">
      <w:pPr>
        <w:rPr>
          <w:rFonts w:ascii="Arial" w:hAnsi="Arial"/>
          <w:b/>
          <w:spacing w:val="6"/>
          <w:sz w:val="22"/>
          <w:szCs w:val="22"/>
        </w:rPr>
      </w:pPr>
      <w:r>
        <w:rPr>
          <w:rFonts w:ascii="Arial" w:hAnsi="Arial"/>
          <w:b/>
          <w:spacing w:val="6"/>
          <w:sz w:val="22"/>
          <w:szCs w:val="22"/>
        </w:rPr>
        <w:t>Nyetableringer</w:t>
      </w:r>
      <w:r w:rsidR="003D6EC1">
        <w:rPr>
          <w:rFonts w:ascii="Arial" w:hAnsi="Arial"/>
          <w:b/>
          <w:spacing w:val="6"/>
          <w:sz w:val="22"/>
          <w:szCs w:val="22"/>
        </w:rPr>
        <w:t xml:space="preserve"> af selskaber</w:t>
      </w:r>
    </w:p>
    <w:p w:rsidR="0035350B" w:rsidRDefault="0035350B" w:rsidP="0003757E">
      <w:pPr>
        <w:rPr>
          <w:rFonts w:ascii="Arial" w:hAnsi="Arial"/>
          <w:b/>
          <w:spacing w:val="6"/>
          <w:sz w:val="22"/>
          <w:szCs w:val="22"/>
        </w:rPr>
      </w:pPr>
    </w:p>
    <w:p w:rsidR="0003757E" w:rsidRDefault="0003757E" w:rsidP="0003757E">
      <w:pPr>
        <w:rPr>
          <w:rFonts w:ascii="Arial" w:hAnsi="Arial"/>
          <w:b/>
          <w:spacing w:val="6"/>
          <w:sz w:val="22"/>
          <w:szCs w:val="22"/>
        </w:rPr>
      </w:pPr>
      <w:r>
        <w:rPr>
          <w:rFonts w:ascii="Arial" w:hAnsi="Arial"/>
          <w:b/>
          <w:spacing w:val="6"/>
          <w:sz w:val="22"/>
          <w:szCs w:val="22"/>
        </w:rPr>
        <w:t>Kommentar til udviklingen i nyetablerede selskaber</w:t>
      </w:r>
      <w:r w:rsidR="003D6EC1">
        <w:rPr>
          <w:rFonts w:ascii="Arial" w:hAnsi="Arial"/>
          <w:b/>
          <w:spacing w:val="6"/>
          <w:sz w:val="22"/>
          <w:szCs w:val="22"/>
        </w:rPr>
        <w:t>.</w:t>
      </w:r>
    </w:p>
    <w:p w:rsidR="0003757E" w:rsidRPr="005A4CCC" w:rsidRDefault="0003757E" w:rsidP="0003757E">
      <w:pPr>
        <w:pStyle w:val="Brdtekst"/>
        <w:rPr>
          <w:rFonts w:ascii="Arial" w:hAnsi="Arial"/>
          <w:sz w:val="20"/>
        </w:rPr>
      </w:pPr>
      <w:r w:rsidRPr="005A4CCC">
        <w:rPr>
          <w:rFonts w:ascii="Arial" w:hAnsi="Arial"/>
          <w:sz w:val="20"/>
        </w:rPr>
        <w:t>Nye selskaber dækker over alle virksomheder, der</w:t>
      </w:r>
      <w:r w:rsidR="003204B2">
        <w:rPr>
          <w:rFonts w:ascii="Arial" w:hAnsi="Arial"/>
          <w:sz w:val="20"/>
        </w:rPr>
        <w:t xml:space="preserve"> får et CVR-nummer hos Erhvervs</w:t>
      </w:r>
      <w:r w:rsidRPr="005A4CCC">
        <w:rPr>
          <w:rFonts w:ascii="Arial" w:hAnsi="Arial"/>
          <w:sz w:val="20"/>
        </w:rPr>
        <w:t>styrelsen, og vil typisk være af formen A/S, ApS, I/S og AMBA. Det er således ikke et udtryk for etableringen af alle virksomheder i Danmark.</w:t>
      </w:r>
    </w:p>
    <w:p w:rsidR="0003757E" w:rsidRDefault="008A27DE" w:rsidP="0003757E">
      <w:pPr>
        <w:pStyle w:val="Brdtekst"/>
        <w:rPr>
          <w:rFonts w:ascii="Arial" w:hAnsi="Arial"/>
          <w:sz w:val="20"/>
        </w:rPr>
      </w:pPr>
      <w:r>
        <w:rPr>
          <w:noProof/>
        </w:rPr>
        <w:drawing>
          <wp:inline distT="0" distB="0" distL="0" distR="0" wp14:anchorId="3CC99426" wp14:editId="5B8B3EEA">
            <wp:extent cx="6124575" cy="204787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757E" w:rsidRDefault="0003757E" w:rsidP="0003757E">
      <w:pPr>
        <w:pStyle w:val="Brdtekst"/>
        <w:rPr>
          <w:rFonts w:ascii="Arial" w:hAnsi="Arial"/>
          <w:sz w:val="20"/>
        </w:rPr>
      </w:pPr>
    </w:p>
    <w:tbl>
      <w:tblPr>
        <w:tblW w:w="9639" w:type="dxa"/>
        <w:tblInd w:w="70" w:type="dxa"/>
        <w:shd w:val="clear" w:color="auto" w:fill="0095D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992"/>
        <w:gridCol w:w="992"/>
        <w:gridCol w:w="992"/>
        <w:gridCol w:w="992"/>
        <w:gridCol w:w="992"/>
        <w:gridCol w:w="993"/>
      </w:tblGrid>
      <w:tr w:rsidR="008C5D46" w:rsidTr="0080657D">
        <w:trPr>
          <w:trHeight w:val="240"/>
        </w:trPr>
        <w:tc>
          <w:tcPr>
            <w:tcW w:w="2694" w:type="dxa"/>
            <w:shd w:val="clear" w:color="auto" w:fill="0095DA"/>
            <w:noWrap/>
            <w:vAlign w:val="center"/>
          </w:tcPr>
          <w:p w:rsidR="008C5D46" w:rsidRDefault="008C5D46" w:rsidP="0003757E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Antal nyetablerede selskaber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0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0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0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9D4F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9D4F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992" w:type="dxa"/>
            <w:shd w:val="clear" w:color="auto" w:fill="0095DA"/>
          </w:tcPr>
          <w:p w:rsidR="008C5D46" w:rsidRDefault="008C5D46" w:rsidP="009D4F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93" w:type="dxa"/>
            <w:shd w:val="clear" w:color="auto" w:fill="0095DA"/>
          </w:tcPr>
          <w:p w:rsidR="008C5D46" w:rsidRDefault="008C5D46" w:rsidP="008C5D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2014</w:t>
            </w:r>
          </w:p>
        </w:tc>
      </w:tr>
      <w:tr w:rsidR="008C5D46" w:rsidTr="0080657D">
        <w:trPr>
          <w:trHeight w:val="240"/>
        </w:trPr>
        <w:tc>
          <w:tcPr>
            <w:tcW w:w="2694" w:type="dxa"/>
            <w:shd w:val="clear" w:color="auto" w:fill="0095DA"/>
            <w:noWrap/>
            <w:vAlign w:val="center"/>
          </w:tcPr>
          <w:p w:rsidR="008C5D46" w:rsidRDefault="008C5D46" w:rsidP="0003757E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 alt</w:t>
            </w:r>
          </w:p>
        </w:tc>
        <w:tc>
          <w:tcPr>
            <w:tcW w:w="992" w:type="dxa"/>
            <w:shd w:val="clear" w:color="auto" w:fill="0095DA"/>
            <w:vAlign w:val="bottom"/>
          </w:tcPr>
          <w:p w:rsidR="008C5D46" w:rsidRDefault="008C5D46" w:rsidP="000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27.303</w:t>
            </w:r>
          </w:p>
        </w:tc>
        <w:tc>
          <w:tcPr>
            <w:tcW w:w="992" w:type="dxa"/>
            <w:shd w:val="clear" w:color="auto" w:fill="0095DA"/>
            <w:vAlign w:val="bottom"/>
          </w:tcPr>
          <w:p w:rsidR="008C5D46" w:rsidRDefault="008C5D46" w:rsidP="000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18.241</w:t>
            </w:r>
          </w:p>
        </w:tc>
        <w:tc>
          <w:tcPr>
            <w:tcW w:w="992" w:type="dxa"/>
            <w:shd w:val="clear" w:color="auto" w:fill="0095DA"/>
            <w:vAlign w:val="bottom"/>
          </w:tcPr>
          <w:p w:rsidR="008C5D46" w:rsidRDefault="008C5D46" w:rsidP="000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19.116</w:t>
            </w:r>
          </w:p>
        </w:tc>
        <w:tc>
          <w:tcPr>
            <w:tcW w:w="992" w:type="dxa"/>
            <w:shd w:val="clear" w:color="auto" w:fill="0095DA"/>
            <w:vAlign w:val="bottom"/>
          </w:tcPr>
          <w:p w:rsidR="008C5D46" w:rsidRDefault="008C5D46" w:rsidP="009D4F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19.027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9D4F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17.720</w:t>
            </w:r>
          </w:p>
        </w:tc>
        <w:tc>
          <w:tcPr>
            <w:tcW w:w="992" w:type="dxa"/>
            <w:shd w:val="clear" w:color="auto" w:fill="0095DA"/>
          </w:tcPr>
          <w:p w:rsidR="008C5D46" w:rsidRDefault="008C5D46" w:rsidP="009D4F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17.647</w:t>
            </w:r>
          </w:p>
        </w:tc>
        <w:tc>
          <w:tcPr>
            <w:tcW w:w="993" w:type="dxa"/>
            <w:shd w:val="clear" w:color="auto" w:fill="0095DA"/>
          </w:tcPr>
          <w:p w:rsidR="008C5D46" w:rsidRDefault="00775B65" w:rsidP="007415A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13.002</w:t>
            </w:r>
          </w:p>
        </w:tc>
      </w:tr>
      <w:tr w:rsidR="008C5D46" w:rsidTr="0080657D">
        <w:trPr>
          <w:trHeight w:val="240"/>
        </w:trPr>
        <w:tc>
          <w:tcPr>
            <w:tcW w:w="2694" w:type="dxa"/>
            <w:shd w:val="clear" w:color="auto" w:fill="0095DA"/>
            <w:noWrap/>
            <w:vAlign w:val="center"/>
          </w:tcPr>
          <w:p w:rsidR="008C5D46" w:rsidRDefault="008C5D46" w:rsidP="0003757E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Vækst %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0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-8,6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0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-33,2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0375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4,8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9D4F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-0,5</w:t>
            </w:r>
          </w:p>
        </w:tc>
        <w:tc>
          <w:tcPr>
            <w:tcW w:w="992" w:type="dxa"/>
            <w:shd w:val="clear" w:color="auto" w:fill="0095DA"/>
            <w:vAlign w:val="center"/>
          </w:tcPr>
          <w:p w:rsidR="008C5D46" w:rsidRDefault="008C5D46" w:rsidP="009D4F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-6,9</w:t>
            </w:r>
          </w:p>
        </w:tc>
        <w:tc>
          <w:tcPr>
            <w:tcW w:w="992" w:type="dxa"/>
            <w:shd w:val="clear" w:color="auto" w:fill="0095DA"/>
          </w:tcPr>
          <w:p w:rsidR="008C5D46" w:rsidRDefault="008C5D46" w:rsidP="009D4F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-0,4</w:t>
            </w:r>
          </w:p>
        </w:tc>
        <w:tc>
          <w:tcPr>
            <w:tcW w:w="993" w:type="dxa"/>
            <w:shd w:val="clear" w:color="auto" w:fill="0095DA"/>
          </w:tcPr>
          <w:p w:rsidR="008C5D46" w:rsidRDefault="00775B65" w:rsidP="00E034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47,4*</w:t>
            </w:r>
          </w:p>
        </w:tc>
      </w:tr>
    </w:tbl>
    <w:p w:rsidR="0003757E" w:rsidRDefault="0003757E" w:rsidP="0003757E">
      <w:pPr>
        <w:pStyle w:val="Brdtek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775B65">
        <w:rPr>
          <w:rFonts w:ascii="Arial" w:hAnsi="Arial" w:cs="Arial"/>
          <w:sz w:val="16"/>
          <w:szCs w:val="16"/>
        </w:rPr>
        <w:t>6</w:t>
      </w:r>
      <w:r w:rsidR="00AB5DD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måneder. % angiver est</w:t>
      </w:r>
      <w:r w:rsidR="00B20072">
        <w:rPr>
          <w:rFonts w:ascii="Arial" w:hAnsi="Arial" w:cs="Arial"/>
          <w:sz w:val="16"/>
          <w:szCs w:val="16"/>
        </w:rPr>
        <w:t xml:space="preserve">imeret vækst for hele året.   </w:t>
      </w:r>
      <w:r w:rsidR="00B20072">
        <w:rPr>
          <w:rFonts w:ascii="Arial" w:hAnsi="Arial" w:cs="Arial"/>
          <w:sz w:val="16"/>
          <w:szCs w:val="16"/>
        </w:rPr>
        <w:tab/>
      </w:r>
      <w:r w:rsidR="00B20072">
        <w:rPr>
          <w:rFonts w:ascii="Arial" w:hAnsi="Arial" w:cs="Arial"/>
          <w:sz w:val="16"/>
          <w:szCs w:val="16"/>
        </w:rPr>
        <w:tab/>
      </w:r>
      <w:r w:rsidR="00B20072">
        <w:rPr>
          <w:rFonts w:ascii="Arial" w:hAnsi="Arial" w:cs="Arial"/>
          <w:sz w:val="16"/>
          <w:szCs w:val="16"/>
        </w:rPr>
        <w:tab/>
      </w:r>
      <w:r w:rsidR="00BC425E">
        <w:rPr>
          <w:rFonts w:ascii="Arial" w:hAnsi="Arial" w:cs="Arial"/>
          <w:sz w:val="16"/>
          <w:szCs w:val="16"/>
        </w:rPr>
        <w:t xml:space="preserve">                     </w:t>
      </w:r>
      <w:r w:rsidR="003204B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Kilde: Erhvervsstyrelsen</w:t>
      </w:r>
    </w:p>
    <w:p w:rsidR="0003757E" w:rsidRDefault="0003757E" w:rsidP="0003757E">
      <w:pPr>
        <w:rPr>
          <w:rFonts w:ascii="Arial" w:hAnsi="Arial"/>
          <w:spacing w:val="6"/>
          <w:sz w:val="18"/>
          <w:szCs w:val="18"/>
        </w:rPr>
      </w:pPr>
    </w:p>
    <w:p w:rsidR="0003757E" w:rsidRDefault="0003757E" w:rsidP="0003757E">
      <w:pPr>
        <w:rPr>
          <w:rFonts w:ascii="Arial" w:hAnsi="Arial"/>
          <w:spacing w:val="6"/>
          <w:sz w:val="20"/>
          <w:szCs w:val="20"/>
        </w:rPr>
      </w:pPr>
      <w:r w:rsidRPr="005A4CCC">
        <w:rPr>
          <w:rFonts w:ascii="Arial" w:hAnsi="Arial"/>
          <w:spacing w:val="6"/>
          <w:sz w:val="20"/>
          <w:szCs w:val="20"/>
        </w:rPr>
        <w:t xml:space="preserve">Antallet af nyetablerede selskaber i </w:t>
      </w:r>
      <w:r w:rsidR="00775B65">
        <w:rPr>
          <w:rFonts w:ascii="Arial" w:hAnsi="Arial"/>
          <w:spacing w:val="6"/>
          <w:sz w:val="20"/>
          <w:szCs w:val="20"/>
        </w:rPr>
        <w:t>juni</w:t>
      </w:r>
      <w:r w:rsidRPr="005A4CCC">
        <w:rPr>
          <w:rFonts w:ascii="Arial" w:hAnsi="Arial"/>
          <w:spacing w:val="6"/>
          <w:sz w:val="20"/>
          <w:szCs w:val="20"/>
        </w:rPr>
        <w:t xml:space="preserve"> </w:t>
      </w:r>
      <w:r w:rsidR="008C5D46">
        <w:rPr>
          <w:rFonts w:ascii="Arial" w:hAnsi="Arial"/>
          <w:spacing w:val="6"/>
          <w:sz w:val="20"/>
          <w:szCs w:val="20"/>
        </w:rPr>
        <w:t>2014</w:t>
      </w:r>
      <w:r w:rsidRPr="005A4CCC">
        <w:rPr>
          <w:rFonts w:ascii="Arial" w:hAnsi="Arial"/>
          <w:spacing w:val="6"/>
          <w:sz w:val="20"/>
          <w:szCs w:val="20"/>
        </w:rPr>
        <w:t xml:space="preserve">, </w:t>
      </w:r>
      <w:r w:rsidR="007415A3" w:rsidRPr="005A4CCC">
        <w:rPr>
          <w:rFonts w:ascii="Arial" w:hAnsi="Arial"/>
          <w:spacing w:val="6"/>
          <w:sz w:val="20"/>
          <w:szCs w:val="20"/>
        </w:rPr>
        <w:t>er</w:t>
      </w:r>
      <w:r w:rsidRPr="005A4CCC">
        <w:rPr>
          <w:rFonts w:ascii="Arial" w:hAnsi="Arial"/>
          <w:spacing w:val="6"/>
          <w:sz w:val="20"/>
          <w:szCs w:val="20"/>
        </w:rPr>
        <w:t xml:space="preserve"> på </w:t>
      </w:r>
      <w:r w:rsidR="00775B65">
        <w:rPr>
          <w:rFonts w:ascii="Arial" w:hAnsi="Arial"/>
          <w:spacing w:val="6"/>
          <w:sz w:val="20"/>
          <w:szCs w:val="20"/>
        </w:rPr>
        <w:t>2326</w:t>
      </w:r>
      <w:r w:rsidRPr="005A4CCC">
        <w:rPr>
          <w:rFonts w:ascii="Arial" w:hAnsi="Arial"/>
          <w:spacing w:val="6"/>
          <w:sz w:val="20"/>
          <w:szCs w:val="20"/>
        </w:rPr>
        <w:t xml:space="preserve">, hvilket er </w:t>
      </w:r>
      <w:r w:rsidR="008C5D46">
        <w:rPr>
          <w:rFonts w:ascii="Arial" w:hAnsi="Arial"/>
          <w:spacing w:val="6"/>
          <w:sz w:val="20"/>
          <w:szCs w:val="20"/>
        </w:rPr>
        <w:t xml:space="preserve">en stigning på </w:t>
      </w:r>
      <w:r w:rsidR="00775B65">
        <w:rPr>
          <w:rFonts w:ascii="Arial" w:hAnsi="Arial"/>
          <w:spacing w:val="6"/>
          <w:sz w:val="20"/>
          <w:szCs w:val="20"/>
        </w:rPr>
        <w:t>28,</w:t>
      </w:r>
      <w:proofErr w:type="gramStart"/>
      <w:r w:rsidR="00775B65">
        <w:rPr>
          <w:rFonts w:ascii="Arial" w:hAnsi="Arial"/>
          <w:spacing w:val="6"/>
          <w:sz w:val="20"/>
          <w:szCs w:val="20"/>
        </w:rPr>
        <w:t>2</w:t>
      </w:r>
      <w:r w:rsidRPr="005A4CCC">
        <w:rPr>
          <w:rFonts w:ascii="Arial" w:hAnsi="Arial"/>
          <w:spacing w:val="6"/>
          <w:sz w:val="20"/>
          <w:szCs w:val="20"/>
        </w:rPr>
        <w:t>%</w:t>
      </w:r>
      <w:proofErr w:type="gramEnd"/>
      <w:r w:rsidRPr="005A4CCC">
        <w:rPr>
          <w:rFonts w:ascii="Arial" w:hAnsi="Arial"/>
          <w:spacing w:val="6"/>
          <w:sz w:val="20"/>
          <w:szCs w:val="20"/>
        </w:rPr>
        <w:t xml:space="preserve"> i forhold til </w:t>
      </w:r>
      <w:r w:rsidR="00775B65">
        <w:rPr>
          <w:rFonts w:ascii="Arial" w:hAnsi="Arial"/>
          <w:spacing w:val="6"/>
          <w:sz w:val="20"/>
          <w:szCs w:val="20"/>
        </w:rPr>
        <w:t>juni</w:t>
      </w:r>
      <w:r w:rsidR="00B20072">
        <w:rPr>
          <w:rFonts w:ascii="Arial" w:hAnsi="Arial"/>
          <w:spacing w:val="6"/>
          <w:sz w:val="20"/>
          <w:szCs w:val="20"/>
        </w:rPr>
        <w:t xml:space="preserve"> 201</w:t>
      </w:r>
      <w:r w:rsidR="008C5D46">
        <w:rPr>
          <w:rFonts w:ascii="Arial" w:hAnsi="Arial"/>
          <w:spacing w:val="6"/>
          <w:sz w:val="20"/>
          <w:szCs w:val="20"/>
        </w:rPr>
        <w:t>3</w:t>
      </w:r>
      <w:r w:rsidRPr="005A4CCC">
        <w:rPr>
          <w:rFonts w:ascii="Arial" w:hAnsi="Arial"/>
          <w:spacing w:val="6"/>
          <w:sz w:val="20"/>
          <w:szCs w:val="20"/>
        </w:rPr>
        <w:t>.</w:t>
      </w:r>
      <w:r w:rsidR="008E6423">
        <w:rPr>
          <w:rFonts w:ascii="Arial" w:hAnsi="Arial"/>
          <w:spacing w:val="6"/>
          <w:sz w:val="20"/>
          <w:szCs w:val="20"/>
        </w:rPr>
        <w:t xml:space="preserve"> </w:t>
      </w:r>
      <w:r w:rsidR="00775B65">
        <w:rPr>
          <w:rFonts w:ascii="Arial" w:hAnsi="Arial"/>
          <w:spacing w:val="6"/>
          <w:sz w:val="20"/>
          <w:szCs w:val="20"/>
        </w:rPr>
        <w:t>2</w:t>
      </w:r>
      <w:r w:rsidR="00BC425E">
        <w:rPr>
          <w:rFonts w:ascii="Arial" w:hAnsi="Arial"/>
          <w:spacing w:val="6"/>
          <w:sz w:val="20"/>
          <w:szCs w:val="20"/>
        </w:rPr>
        <w:t xml:space="preserve">. kvartal </w:t>
      </w:r>
      <w:r w:rsidRPr="005A4CCC">
        <w:rPr>
          <w:rFonts w:ascii="Arial" w:hAnsi="Arial"/>
          <w:spacing w:val="6"/>
          <w:sz w:val="20"/>
          <w:szCs w:val="20"/>
        </w:rPr>
        <w:t xml:space="preserve">af </w:t>
      </w:r>
      <w:r w:rsidR="00B20072">
        <w:rPr>
          <w:rFonts w:ascii="Arial" w:hAnsi="Arial"/>
          <w:spacing w:val="6"/>
          <w:sz w:val="20"/>
          <w:szCs w:val="20"/>
        </w:rPr>
        <w:t>201</w:t>
      </w:r>
      <w:r w:rsidR="008C5D46">
        <w:rPr>
          <w:rFonts w:ascii="Arial" w:hAnsi="Arial"/>
          <w:spacing w:val="6"/>
          <w:sz w:val="20"/>
          <w:szCs w:val="20"/>
        </w:rPr>
        <w:t>4</w:t>
      </w:r>
      <w:r w:rsidRPr="005A4CCC">
        <w:rPr>
          <w:rFonts w:ascii="Arial" w:hAnsi="Arial"/>
          <w:spacing w:val="6"/>
          <w:sz w:val="20"/>
          <w:szCs w:val="20"/>
        </w:rPr>
        <w:t xml:space="preserve"> har </w:t>
      </w:r>
      <w:r w:rsidR="008C5D46">
        <w:rPr>
          <w:rFonts w:ascii="Arial" w:hAnsi="Arial"/>
          <w:spacing w:val="6"/>
          <w:sz w:val="20"/>
          <w:szCs w:val="20"/>
        </w:rPr>
        <w:t>samlet</w:t>
      </w:r>
      <w:r w:rsidR="003D6EC1">
        <w:rPr>
          <w:rFonts w:ascii="Arial" w:hAnsi="Arial"/>
          <w:spacing w:val="6"/>
          <w:sz w:val="20"/>
          <w:szCs w:val="20"/>
        </w:rPr>
        <w:t xml:space="preserve"> vist </w:t>
      </w:r>
      <w:r w:rsidR="008C5D46">
        <w:rPr>
          <w:rFonts w:ascii="Arial" w:hAnsi="Arial"/>
          <w:spacing w:val="6"/>
          <w:sz w:val="20"/>
          <w:szCs w:val="20"/>
        </w:rPr>
        <w:t>en markant stigning</w:t>
      </w:r>
      <w:r w:rsidRPr="005A4CCC">
        <w:rPr>
          <w:rFonts w:ascii="Arial" w:hAnsi="Arial"/>
          <w:spacing w:val="6"/>
          <w:sz w:val="20"/>
          <w:szCs w:val="20"/>
        </w:rPr>
        <w:t xml:space="preserve"> i det samlede antal nyetablerede selskaber på </w:t>
      </w:r>
      <w:r w:rsidR="00775B65">
        <w:rPr>
          <w:rFonts w:ascii="Arial" w:hAnsi="Arial"/>
          <w:spacing w:val="6"/>
          <w:sz w:val="20"/>
          <w:szCs w:val="20"/>
        </w:rPr>
        <w:t>34,6</w:t>
      </w:r>
      <w:r w:rsidR="008C5D46">
        <w:rPr>
          <w:rFonts w:ascii="Arial" w:hAnsi="Arial"/>
          <w:spacing w:val="6"/>
          <w:sz w:val="20"/>
          <w:szCs w:val="20"/>
        </w:rPr>
        <w:t>%</w:t>
      </w:r>
      <w:r w:rsidR="00BC425E">
        <w:rPr>
          <w:rFonts w:ascii="Arial" w:hAnsi="Arial"/>
          <w:spacing w:val="6"/>
          <w:sz w:val="20"/>
          <w:szCs w:val="20"/>
        </w:rPr>
        <w:t xml:space="preserve"> - sammenlignet med</w:t>
      </w:r>
      <w:r w:rsidR="008C5D46">
        <w:rPr>
          <w:rFonts w:ascii="Arial" w:hAnsi="Arial"/>
          <w:spacing w:val="6"/>
          <w:sz w:val="20"/>
          <w:szCs w:val="20"/>
        </w:rPr>
        <w:t xml:space="preserve"> </w:t>
      </w:r>
      <w:r w:rsidR="00775B65">
        <w:rPr>
          <w:rFonts w:ascii="Arial" w:hAnsi="Arial"/>
          <w:spacing w:val="6"/>
          <w:sz w:val="20"/>
          <w:szCs w:val="20"/>
        </w:rPr>
        <w:t>2</w:t>
      </w:r>
      <w:r w:rsidR="00BC425E">
        <w:rPr>
          <w:rFonts w:ascii="Arial" w:hAnsi="Arial"/>
          <w:spacing w:val="6"/>
          <w:sz w:val="20"/>
          <w:szCs w:val="20"/>
        </w:rPr>
        <w:t>. kvartal af</w:t>
      </w:r>
      <w:r w:rsidRPr="005A4CCC">
        <w:rPr>
          <w:rFonts w:ascii="Arial" w:hAnsi="Arial"/>
          <w:spacing w:val="6"/>
          <w:sz w:val="20"/>
          <w:szCs w:val="20"/>
        </w:rPr>
        <w:t xml:space="preserve"> </w:t>
      </w:r>
      <w:r w:rsidR="00B20072">
        <w:rPr>
          <w:rFonts w:ascii="Arial" w:hAnsi="Arial"/>
          <w:spacing w:val="6"/>
          <w:sz w:val="20"/>
          <w:szCs w:val="20"/>
        </w:rPr>
        <w:t>201</w:t>
      </w:r>
      <w:r w:rsidR="008C5D46">
        <w:rPr>
          <w:rFonts w:ascii="Arial" w:hAnsi="Arial"/>
          <w:spacing w:val="6"/>
          <w:sz w:val="20"/>
          <w:szCs w:val="20"/>
        </w:rPr>
        <w:t>3</w:t>
      </w:r>
      <w:r w:rsidRPr="005A4CCC">
        <w:rPr>
          <w:rFonts w:ascii="Arial" w:hAnsi="Arial"/>
          <w:spacing w:val="6"/>
          <w:sz w:val="20"/>
          <w:szCs w:val="20"/>
        </w:rPr>
        <w:t>.</w:t>
      </w:r>
    </w:p>
    <w:p w:rsidR="009A071A" w:rsidRPr="005A4CCC" w:rsidRDefault="009A071A" w:rsidP="0003757E">
      <w:pPr>
        <w:rPr>
          <w:rFonts w:ascii="Arial" w:hAnsi="Arial"/>
          <w:spacing w:val="6"/>
          <w:sz w:val="20"/>
          <w:szCs w:val="20"/>
        </w:rPr>
      </w:pPr>
      <w:r>
        <w:rPr>
          <w:rFonts w:ascii="Arial" w:hAnsi="Arial"/>
          <w:spacing w:val="6"/>
          <w:sz w:val="20"/>
          <w:szCs w:val="20"/>
        </w:rPr>
        <w:t xml:space="preserve">Muligheden for at stifte Iværksætterselskaber, hvor man kan stifte et selskab med en kapital på 1 kr., har medvirket til den pæne vækst. Der er skabt </w:t>
      </w:r>
      <w:r w:rsidR="00204FBF">
        <w:rPr>
          <w:rFonts w:ascii="Arial" w:hAnsi="Arial"/>
          <w:spacing w:val="6"/>
          <w:sz w:val="20"/>
          <w:szCs w:val="20"/>
        </w:rPr>
        <w:t>1</w:t>
      </w:r>
      <w:r w:rsidR="008C4121">
        <w:rPr>
          <w:rFonts w:ascii="Arial" w:hAnsi="Arial"/>
          <w:spacing w:val="6"/>
          <w:sz w:val="20"/>
          <w:szCs w:val="20"/>
        </w:rPr>
        <w:t>.</w:t>
      </w:r>
      <w:r w:rsidR="00204FBF">
        <w:rPr>
          <w:rFonts w:ascii="Arial" w:hAnsi="Arial"/>
          <w:spacing w:val="6"/>
          <w:sz w:val="20"/>
          <w:szCs w:val="20"/>
        </w:rPr>
        <w:t>626</w:t>
      </w:r>
      <w:r>
        <w:rPr>
          <w:rFonts w:ascii="Arial" w:hAnsi="Arial"/>
          <w:spacing w:val="6"/>
          <w:sz w:val="20"/>
          <w:szCs w:val="20"/>
        </w:rPr>
        <w:t xml:space="preserve"> iværksætterselskaber i </w:t>
      </w:r>
      <w:r w:rsidR="00204FBF">
        <w:rPr>
          <w:rFonts w:ascii="Arial" w:hAnsi="Arial"/>
          <w:spacing w:val="6"/>
          <w:sz w:val="20"/>
          <w:szCs w:val="20"/>
        </w:rPr>
        <w:t>2</w:t>
      </w:r>
      <w:r>
        <w:rPr>
          <w:rFonts w:ascii="Arial" w:hAnsi="Arial"/>
          <w:spacing w:val="6"/>
          <w:sz w:val="20"/>
          <w:szCs w:val="20"/>
        </w:rPr>
        <w:t xml:space="preserve">. kvartal, </w:t>
      </w:r>
      <w:r w:rsidR="00204FBF">
        <w:rPr>
          <w:rFonts w:ascii="Arial" w:hAnsi="Arial"/>
          <w:spacing w:val="6"/>
          <w:sz w:val="20"/>
          <w:szCs w:val="20"/>
        </w:rPr>
        <w:t xml:space="preserve">hvilket udgør </w:t>
      </w:r>
      <w:r w:rsidR="008C4121">
        <w:rPr>
          <w:rFonts w:ascii="Arial" w:hAnsi="Arial"/>
          <w:spacing w:val="6"/>
          <w:sz w:val="20"/>
          <w:szCs w:val="20"/>
        </w:rPr>
        <w:t>næsten 1/4</w:t>
      </w:r>
      <w:r w:rsidR="00204FBF">
        <w:rPr>
          <w:rFonts w:ascii="Arial" w:hAnsi="Arial"/>
          <w:spacing w:val="6"/>
          <w:sz w:val="20"/>
          <w:szCs w:val="20"/>
        </w:rPr>
        <w:t xml:space="preserve"> af alle nyetablerede selskaber i 2. kvartal.</w:t>
      </w:r>
      <w:r>
        <w:rPr>
          <w:rFonts w:ascii="Arial" w:hAnsi="Arial"/>
          <w:spacing w:val="6"/>
          <w:sz w:val="20"/>
          <w:szCs w:val="20"/>
        </w:rPr>
        <w:t xml:space="preserve"> </w:t>
      </w:r>
      <w:r w:rsidR="008C4121">
        <w:rPr>
          <w:rFonts w:ascii="Arial" w:hAnsi="Arial"/>
          <w:spacing w:val="6"/>
          <w:sz w:val="20"/>
          <w:szCs w:val="20"/>
        </w:rPr>
        <w:t xml:space="preserve">Selv om vi trækker disse </w:t>
      </w:r>
      <w:proofErr w:type="spellStart"/>
      <w:r w:rsidR="008C4121">
        <w:rPr>
          <w:rFonts w:ascii="Arial" w:hAnsi="Arial"/>
          <w:spacing w:val="6"/>
          <w:sz w:val="20"/>
          <w:szCs w:val="20"/>
        </w:rPr>
        <w:t>IVS’ere</w:t>
      </w:r>
      <w:proofErr w:type="spellEnd"/>
      <w:r w:rsidR="008C4121">
        <w:rPr>
          <w:rFonts w:ascii="Arial" w:hAnsi="Arial"/>
          <w:spacing w:val="6"/>
          <w:sz w:val="20"/>
          <w:szCs w:val="20"/>
        </w:rPr>
        <w:t xml:space="preserve"> fra, ville der have været en stigning i forhold til 2. kvartal 2013. </w:t>
      </w:r>
      <w:r>
        <w:rPr>
          <w:rFonts w:ascii="Arial" w:hAnsi="Arial"/>
          <w:spacing w:val="6"/>
          <w:sz w:val="20"/>
          <w:szCs w:val="20"/>
        </w:rPr>
        <w:t>Vi skal tilbage til 2008</w:t>
      </w:r>
      <w:r w:rsidR="00204FBF">
        <w:rPr>
          <w:rFonts w:ascii="Arial" w:hAnsi="Arial"/>
          <w:spacing w:val="6"/>
          <w:sz w:val="20"/>
          <w:szCs w:val="20"/>
        </w:rPr>
        <w:t xml:space="preserve"> og årene før finanskrisen</w:t>
      </w:r>
      <w:r w:rsidR="008C4121">
        <w:rPr>
          <w:rFonts w:ascii="Arial" w:hAnsi="Arial"/>
          <w:spacing w:val="6"/>
          <w:sz w:val="20"/>
          <w:szCs w:val="20"/>
        </w:rPr>
        <w:t>,</w:t>
      </w:r>
      <w:r w:rsidR="00204FBF">
        <w:rPr>
          <w:rFonts w:ascii="Arial" w:hAnsi="Arial"/>
          <w:spacing w:val="6"/>
          <w:sz w:val="20"/>
          <w:szCs w:val="20"/>
        </w:rPr>
        <w:t xml:space="preserve"> </w:t>
      </w:r>
      <w:r>
        <w:rPr>
          <w:rFonts w:ascii="Arial" w:hAnsi="Arial"/>
          <w:spacing w:val="6"/>
          <w:sz w:val="20"/>
          <w:szCs w:val="20"/>
        </w:rPr>
        <w:t>for at se højere antal nyetableringer</w:t>
      </w:r>
      <w:r w:rsidR="00204FBF">
        <w:rPr>
          <w:rFonts w:ascii="Arial" w:hAnsi="Arial"/>
          <w:spacing w:val="6"/>
          <w:sz w:val="20"/>
          <w:szCs w:val="20"/>
        </w:rPr>
        <w:t xml:space="preserve"> af selskaber</w:t>
      </w:r>
      <w:r w:rsidR="008C4121">
        <w:rPr>
          <w:rFonts w:ascii="Arial" w:hAnsi="Arial"/>
          <w:spacing w:val="6"/>
          <w:sz w:val="20"/>
          <w:szCs w:val="20"/>
        </w:rPr>
        <w:t>,</w:t>
      </w:r>
      <w:r>
        <w:rPr>
          <w:rFonts w:ascii="Arial" w:hAnsi="Arial"/>
          <w:spacing w:val="6"/>
          <w:sz w:val="20"/>
          <w:szCs w:val="20"/>
        </w:rPr>
        <w:t xml:space="preserve"> for et kvartal.</w:t>
      </w:r>
    </w:p>
    <w:p w:rsidR="007219DF" w:rsidRPr="005A4CCC" w:rsidRDefault="007219DF" w:rsidP="0003757E">
      <w:pPr>
        <w:rPr>
          <w:rFonts w:ascii="Arial" w:hAnsi="Arial"/>
          <w:spacing w:val="6"/>
          <w:sz w:val="20"/>
          <w:szCs w:val="20"/>
        </w:rPr>
      </w:pPr>
    </w:p>
    <w:p w:rsidR="0003757E" w:rsidRDefault="0003757E" w:rsidP="0003757E">
      <w:pPr>
        <w:rPr>
          <w:rFonts w:ascii="Arial" w:hAnsi="Arial"/>
          <w:b/>
          <w:spacing w:val="6"/>
          <w:sz w:val="22"/>
          <w:szCs w:val="22"/>
        </w:rPr>
      </w:pPr>
      <w:r>
        <w:rPr>
          <w:rFonts w:ascii="Arial" w:hAnsi="Arial"/>
          <w:b/>
          <w:spacing w:val="6"/>
          <w:sz w:val="22"/>
          <w:szCs w:val="22"/>
        </w:rPr>
        <w:t xml:space="preserve">Kommentar til nyetablerede selskaber fordelt på </w:t>
      </w:r>
      <w:r w:rsidR="00F91876">
        <w:rPr>
          <w:rFonts w:ascii="Arial" w:hAnsi="Arial"/>
          <w:b/>
          <w:spacing w:val="6"/>
          <w:sz w:val="22"/>
          <w:szCs w:val="22"/>
        </w:rPr>
        <w:t>geografiske områder</w:t>
      </w:r>
    </w:p>
    <w:p w:rsidR="0003757E" w:rsidRPr="005A4CCC" w:rsidRDefault="0003757E" w:rsidP="0003757E">
      <w:pPr>
        <w:rPr>
          <w:rFonts w:ascii="Arial" w:hAnsi="Arial"/>
          <w:spacing w:val="6"/>
          <w:sz w:val="20"/>
          <w:szCs w:val="20"/>
        </w:rPr>
      </w:pPr>
      <w:r w:rsidRPr="005A4CCC">
        <w:rPr>
          <w:rFonts w:ascii="Arial" w:hAnsi="Arial"/>
          <w:spacing w:val="6"/>
          <w:sz w:val="20"/>
          <w:szCs w:val="20"/>
        </w:rPr>
        <w:t xml:space="preserve">I </w:t>
      </w:r>
      <w:r w:rsidR="00775B65">
        <w:rPr>
          <w:rFonts w:ascii="Arial" w:hAnsi="Arial"/>
          <w:spacing w:val="6"/>
          <w:sz w:val="20"/>
          <w:szCs w:val="20"/>
        </w:rPr>
        <w:t>2</w:t>
      </w:r>
      <w:r w:rsidR="00BC425E">
        <w:rPr>
          <w:rFonts w:ascii="Arial" w:hAnsi="Arial"/>
          <w:spacing w:val="6"/>
          <w:sz w:val="20"/>
          <w:szCs w:val="20"/>
        </w:rPr>
        <w:t xml:space="preserve">. kvartal af </w:t>
      </w:r>
      <w:r w:rsidR="00B20072">
        <w:rPr>
          <w:rFonts w:ascii="Arial" w:hAnsi="Arial"/>
          <w:spacing w:val="6"/>
          <w:sz w:val="20"/>
          <w:szCs w:val="20"/>
        </w:rPr>
        <w:t>201</w:t>
      </w:r>
      <w:r w:rsidR="009A071A">
        <w:rPr>
          <w:rFonts w:ascii="Arial" w:hAnsi="Arial"/>
          <w:spacing w:val="6"/>
          <w:sz w:val="20"/>
          <w:szCs w:val="20"/>
        </w:rPr>
        <w:t>4</w:t>
      </w:r>
      <w:r w:rsidRPr="005A4CCC">
        <w:rPr>
          <w:rFonts w:ascii="Arial" w:hAnsi="Arial"/>
          <w:spacing w:val="6"/>
          <w:sz w:val="20"/>
          <w:szCs w:val="20"/>
        </w:rPr>
        <w:t xml:space="preserve"> </w:t>
      </w:r>
      <w:r w:rsidR="009A071A">
        <w:rPr>
          <w:rFonts w:ascii="Arial" w:hAnsi="Arial"/>
          <w:spacing w:val="6"/>
          <w:sz w:val="20"/>
          <w:szCs w:val="20"/>
        </w:rPr>
        <w:t>har der været en kraftig vækst i antallet af nyetablerede selskaber. Alle områder viser fin vækst</w:t>
      </w:r>
      <w:r w:rsidR="00204FBF">
        <w:rPr>
          <w:rFonts w:ascii="Arial" w:hAnsi="Arial"/>
          <w:spacing w:val="6"/>
          <w:sz w:val="20"/>
          <w:szCs w:val="20"/>
        </w:rPr>
        <w:t xml:space="preserve"> – med undtagelse af Grønland hvor antallet er uændret</w:t>
      </w:r>
      <w:r w:rsidR="009A071A">
        <w:rPr>
          <w:rFonts w:ascii="Arial" w:hAnsi="Arial"/>
          <w:spacing w:val="6"/>
          <w:sz w:val="20"/>
          <w:szCs w:val="20"/>
        </w:rPr>
        <w:t xml:space="preserve">. </w:t>
      </w:r>
      <w:r w:rsidR="00204FBF">
        <w:rPr>
          <w:rFonts w:ascii="Arial" w:hAnsi="Arial"/>
          <w:spacing w:val="6"/>
          <w:sz w:val="20"/>
          <w:szCs w:val="20"/>
        </w:rPr>
        <w:t>Fyn og Bornholm</w:t>
      </w:r>
      <w:r w:rsidR="009A071A">
        <w:rPr>
          <w:rFonts w:ascii="Arial" w:hAnsi="Arial"/>
          <w:spacing w:val="6"/>
          <w:sz w:val="20"/>
          <w:szCs w:val="20"/>
        </w:rPr>
        <w:t xml:space="preserve"> har relativt størst vækst sammenlignet med </w:t>
      </w:r>
      <w:r w:rsidR="00204FBF">
        <w:rPr>
          <w:rFonts w:ascii="Arial" w:hAnsi="Arial"/>
          <w:spacing w:val="6"/>
          <w:sz w:val="20"/>
          <w:szCs w:val="20"/>
        </w:rPr>
        <w:t>2</w:t>
      </w:r>
      <w:r w:rsidR="009A071A">
        <w:rPr>
          <w:rFonts w:ascii="Arial" w:hAnsi="Arial"/>
          <w:spacing w:val="6"/>
          <w:sz w:val="20"/>
          <w:szCs w:val="20"/>
        </w:rPr>
        <w:t xml:space="preserve">. kvartal 2013. </w:t>
      </w:r>
      <w:r w:rsidR="00711B70">
        <w:rPr>
          <w:rFonts w:ascii="Arial" w:hAnsi="Arial"/>
          <w:spacing w:val="6"/>
          <w:sz w:val="20"/>
          <w:szCs w:val="20"/>
        </w:rPr>
        <w:t xml:space="preserve"> </w:t>
      </w:r>
      <w:r w:rsidR="00204FBF">
        <w:rPr>
          <w:rFonts w:ascii="Arial" w:hAnsi="Arial"/>
          <w:spacing w:val="6"/>
          <w:sz w:val="20"/>
          <w:szCs w:val="20"/>
        </w:rPr>
        <w:t>Lolland-Falster og Nordjylland</w:t>
      </w:r>
      <w:r w:rsidR="009A071A">
        <w:rPr>
          <w:rFonts w:ascii="Arial" w:hAnsi="Arial"/>
          <w:spacing w:val="6"/>
          <w:sz w:val="20"/>
          <w:szCs w:val="20"/>
        </w:rPr>
        <w:t xml:space="preserve"> </w:t>
      </w:r>
      <w:r w:rsidR="00204FBF">
        <w:rPr>
          <w:rFonts w:ascii="Arial" w:hAnsi="Arial"/>
          <w:spacing w:val="6"/>
          <w:sz w:val="20"/>
          <w:szCs w:val="20"/>
        </w:rPr>
        <w:t xml:space="preserve">er </w:t>
      </w:r>
      <w:r w:rsidR="009A071A">
        <w:rPr>
          <w:rFonts w:ascii="Arial" w:hAnsi="Arial"/>
          <w:spacing w:val="6"/>
          <w:sz w:val="20"/>
          <w:szCs w:val="20"/>
        </w:rPr>
        <w:t>de områder med relativt lavest vækst</w:t>
      </w:r>
      <w:r w:rsidR="00792CF7" w:rsidRPr="005A4CCC">
        <w:rPr>
          <w:rFonts w:ascii="Arial" w:hAnsi="Arial"/>
          <w:spacing w:val="6"/>
          <w:sz w:val="20"/>
          <w:szCs w:val="20"/>
        </w:rPr>
        <w:t xml:space="preserve">. </w:t>
      </w:r>
    </w:p>
    <w:p w:rsidR="0003757E" w:rsidRPr="005A4CCC" w:rsidRDefault="0003757E" w:rsidP="0003757E">
      <w:pPr>
        <w:rPr>
          <w:rFonts w:ascii="Arial" w:hAnsi="Arial"/>
          <w:spacing w:val="6"/>
          <w:sz w:val="20"/>
          <w:szCs w:val="20"/>
        </w:rPr>
      </w:pPr>
      <w:r w:rsidRPr="005A4CCC">
        <w:rPr>
          <w:rFonts w:ascii="Arial" w:hAnsi="Arial"/>
          <w:spacing w:val="6"/>
          <w:sz w:val="20"/>
          <w:szCs w:val="20"/>
        </w:rPr>
        <w:t xml:space="preserve">Når der ses på </w:t>
      </w:r>
      <w:r w:rsidR="009A071A">
        <w:rPr>
          <w:rFonts w:ascii="Arial" w:hAnsi="Arial"/>
          <w:spacing w:val="6"/>
          <w:sz w:val="20"/>
          <w:szCs w:val="20"/>
        </w:rPr>
        <w:t>de seneste 12 måneder</w:t>
      </w:r>
      <w:r w:rsidR="00792CF7" w:rsidRPr="005A4CCC">
        <w:rPr>
          <w:rFonts w:ascii="Arial" w:hAnsi="Arial"/>
          <w:spacing w:val="6"/>
          <w:sz w:val="20"/>
          <w:szCs w:val="20"/>
        </w:rPr>
        <w:t>, har der</w:t>
      </w:r>
      <w:r w:rsidR="00B4502D">
        <w:rPr>
          <w:rFonts w:ascii="Arial" w:hAnsi="Arial"/>
          <w:spacing w:val="6"/>
          <w:sz w:val="20"/>
          <w:szCs w:val="20"/>
        </w:rPr>
        <w:t xml:space="preserve"> samlet set været </w:t>
      </w:r>
      <w:r w:rsidR="009A071A">
        <w:rPr>
          <w:rFonts w:ascii="Arial" w:hAnsi="Arial"/>
          <w:spacing w:val="6"/>
          <w:sz w:val="20"/>
          <w:szCs w:val="20"/>
        </w:rPr>
        <w:t xml:space="preserve">en stigning på </w:t>
      </w:r>
      <w:r w:rsidR="00204FBF">
        <w:rPr>
          <w:rFonts w:ascii="Arial" w:hAnsi="Arial"/>
          <w:spacing w:val="6"/>
          <w:sz w:val="20"/>
          <w:szCs w:val="20"/>
        </w:rPr>
        <w:t>19,</w:t>
      </w:r>
      <w:proofErr w:type="gramStart"/>
      <w:r w:rsidR="00204FBF">
        <w:rPr>
          <w:rFonts w:ascii="Arial" w:hAnsi="Arial"/>
          <w:spacing w:val="6"/>
          <w:sz w:val="20"/>
          <w:szCs w:val="20"/>
        </w:rPr>
        <w:t>7</w:t>
      </w:r>
      <w:r w:rsidR="00B4502D">
        <w:rPr>
          <w:rFonts w:ascii="Arial" w:hAnsi="Arial"/>
          <w:spacing w:val="6"/>
          <w:sz w:val="20"/>
          <w:szCs w:val="20"/>
        </w:rPr>
        <w:t>%</w:t>
      </w:r>
      <w:proofErr w:type="gramEnd"/>
      <w:r w:rsidR="00B4502D">
        <w:rPr>
          <w:rFonts w:ascii="Arial" w:hAnsi="Arial"/>
          <w:spacing w:val="6"/>
          <w:sz w:val="20"/>
          <w:szCs w:val="20"/>
        </w:rPr>
        <w:t xml:space="preserve"> i forhold </w:t>
      </w:r>
      <w:r w:rsidR="009A071A">
        <w:rPr>
          <w:rFonts w:ascii="Arial" w:hAnsi="Arial"/>
          <w:spacing w:val="6"/>
          <w:sz w:val="20"/>
          <w:szCs w:val="20"/>
        </w:rPr>
        <w:t>de forrige 12 måneder</w:t>
      </w:r>
      <w:r w:rsidR="00B4502D">
        <w:rPr>
          <w:rFonts w:ascii="Arial" w:hAnsi="Arial"/>
          <w:spacing w:val="6"/>
          <w:sz w:val="20"/>
          <w:szCs w:val="20"/>
        </w:rPr>
        <w:t xml:space="preserve">. </w:t>
      </w:r>
      <w:r w:rsidR="009A071A">
        <w:rPr>
          <w:rFonts w:ascii="Arial" w:hAnsi="Arial"/>
          <w:spacing w:val="6"/>
          <w:sz w:val="20"/>
          <w:szCs w:val="20"/>
        </w:rPr>
        <w:t xml:space="preserve">Det er primært </w:t>
      </w:r>
      <w:r w:rsidR="00204FBF">
        <w:rPr>
          <w:rFonts w:ascii="Arial" w:hAnsi="Arial"/>
          <w:spacing w:val="6"/>
          <w:sz w:val="20"/>
          <w:szCs w:val="20"/>
        </w:rPr>
        <w:t xml:space="preserve">det første halvår af 2014, </w:t>
      </w:r>
      <w:r w:rsidR="009A071A">
        <w:rPr>
          <w:rFonts w:ascii="Arial" w:hAnsi="Arial"/>
          <w:spacing w:val="6"/>
          <w:sz w:val="20"/>
          <w:szCs w:val="20"/>
        </w:rPr>
        <w:t>der er skyld i denne fremgang.</w:t>
      </w:r>
      <w:r w:rsidR="00711B70">
        <w:rPr>
          <w:rFonts w:ascii="Arial" w:hAnsi="Arial"/>
          <w:spacing w:val="6"/>
          <w:sz w:val="20"/>
          <w:szCs w:val="20"/>
        </w:rPr>
        <w:t xml:space="preserve"> </w:t>
      </w:r>
      <w:r w:rsidR="009A071A">
        <w:rPr>
          <w:rFonts w:ascii="Arial" w:hAnsi="Arial"/>
          <w:spacing w:val="6"/>
          <w:sz w:val="20"/>
          <w:szCs w:val="20"/>
        </w:rPr>
        <w:t xml:space="preserve">Bornholm har haft den største relative </w:t>
      </w:r>
      <w:r w:rsidR="00711B70">
        <w:rPr>
          <w:rFonts w:ascii="Arial" w:hAnsi="Arial"/>
          <w:spacing w:val="6"/>
          <w:sz w:val="20"/>
          <w:szCs w:val="20"/>
        </w:rPr>
        <w:t>stigning i a</w:t>
      </w:r>
      <w:r w:rsidR="009A071A">
        <w:rPr>
          <w:rFonts w:ascii="Arial" w:hAnsi="Arial"/>
          <w:spacing w:val="6"/>
          <w:sz w:val="20"/>
          <w:szCs w:val="20"/>
        </w:rPr>
        <w:t>ntal nye selskaber, mens Grønland</w:t>
      </w:r>
      <w:r w:rsidR="00204FBF">
        <w:rPr>
          <w:rFonts w:ascii="Arial" w:hAnsi="Arial"/>
          <w:spacing w:val="6"/>
          <w:sz w:val="20"/>
          <w:szCs w:val="20"/>
        </w:rPr>
        <w:t xml:space="preserve"> har haft en tilbagegang.</w:t>
      </w:r>
      <w:r w:rsidR="00711B70">
        <w:rPr>
          <w:rFonts w:ascii="Arial" w:hAnsi="Arial"/>
          <w:spacing w:val="6"/>
          <w:sz w:val="20"/>
          <w:szCs w:val="20"/>
        </w:rPr>
        <w:t xml:space="preserve"> </w:t>
      </w:r>
    </w:p>
    <w:p w:rsidR="0003757E" w:rsidRPr="005A4CCC" w:rsidRDefault="0003757E" w:rsidP="0003757E">
      <w:pPr>
        <w:rPr>
          <w:rFonts w:ascii="Arial" w:hAnsi="Arial"/>
          <w:spacing w:val="6"/>
          <w:sz w:val="20"/>
          <w:szCs w:val="20"/>
        </w:rPr>
      </w:pPr>
    </w:p>
    <w:tbl>
      <w:tblPr>
        <w:tblW w:w="96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296"/>
        <w:gridCol w:w="1076"/>
        <w:gridCol w:w="1176"/>
        <w:gridCol w:w="1176"/>
        <w:gridCol w:w="296"/>
        <w:gridCol w:w="1176"/>
        <w:gridCol w:w="1176"/>
        <w:gridCol w:w="1176"/>
      </w:tblGrid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 kvartal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 kvartal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Juli/Juni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Juli/Juni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Difference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Område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12/13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13/14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Bornholm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33,3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Sydjylland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Hovedstaden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21,9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Fyn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Midt- og Vestjylland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20,4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Østjylland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Sjælland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14,9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14,7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Nordjylland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13,4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Lolland - Falster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11,3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Grønland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-2,1</w:t>
            </w:r>
          </w:p>
        </w:tc>
      </w:tr>
      <w:tr w:rsidR="00775B65" w:rsidTr="00775B65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alt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4.856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6.534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34,6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65" w:rsidRDefault="00775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17.875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21.398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775B65" w:rsidRDefault="00775B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</w:t>
            </w:r>
          </w:p>
        </w:tc>
      </w:tr>
    </w:tbl>
    <w:p w:rsidR="0003757E" w:rsidRDefault="00792CF7" w:rsidP="0003757E">
      <w:pPr>
        <w:pStyle w:val="Brdtek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3204B2">
        <w:rPr>
          <w:rFonts w:ascii="Arial" w:hAnsi="Arial" w:cs="Arial"/>
          <w:sz w:val="16"/>
          <w:szCs w:val="16"/>
        </w:rPr>
        <w:t>Kilde: Erhvervs</w:t>
      </w:r>
      <w:r w:rsidR="0003757E">
        <w:rPr>
          <w:rFonts w:ascii="Arial" w:hAnsi="Arial" w:cs="Arial"/>
          <w:sz w:val="16"/>
          <w:szCs w:val="16"/>
        </w:rPr>
        <w:t>styrelsen</w:t>
      </w:r>
    </w:p>
    <w:p w:rsidR="002054F6" w:rsidRDefault="002054F6">
      <w:pPr>
        <w:rPr>
          <w:rFonts w:ascii="Arial" w:hAnsi="Arial"/>
          <w:spacing w:val="6"/>
          <w:sz w:val="18"/>
          <w:szCs w:val="18"/>
        </w:rPr>
      </w:pPr>
    </w:p>
    <w:p w:rsidR="00616E3C" w:rsidRDefault="00616E3C" w:rsidP="00CA789F">
      <w:pPr>
        <w:rPr>
          <w:rFonts w:ascii="Arial" w:hAnsi="Arial" w:cs="Arial"/>
          <w:sz w:val="20"/>
        </w:rPr>
      </w:pPr>
    </w:p>
    <w:p w:rsidR="007F398F" w:rsidRDefault="007F398F" w:rsidP="00CA789F">
      <w:pPr>
        <w:rPr>
          <w:rFonts w:ascii="Arial" w:hAnsi="Arial" w:cs="Arial"/>
          <w:sz w:val="20"/>
        </w:rPr>
      </w:pPr>
    </w:p>
    <w:p w:rsidR="00711B70" w:rsidRDefault="00711B70" w:rsidP="00711B70">
      <w:pPr>
        <w:rPr>
          <w:rFonts w:ascii="Arial" w:hAnsi="Arial" w:cs="Arial"/>
          <w:b/>
          <w:sz w:val="20"/>
          <w:szCs w:val="20"/>
        </w:rPr>
      </w:pPr>
      <w:r w:rsidRPr="00FE6311">
        <w:rPr>
          <w:rFonts w:ascii="Arial" w:hAnsi="Arial" w:cs="Arial"/>
          <w:b/>
          <w:sz w:val="20"/>
          <w:szCs w:val="20"/>
        </w:rPr>
        <w:t xml:space="preserve">Andel af </w:t>
      </w:r>
      <w:r>
        <w:rPr>
          <w:rFonts w:ascii="Arial" w:hAnsi="Arial" w:cs="Arial"/>
          <w:b/>
          <w:sz w:val="20"/>
          <w:szCs w:val="20"/>
        </w:rPr>
        <w:t>nye selskaber,</w:t>
      </w:r>
      <w:r w:rsidRPr="00FE6311">
        <w:rPr>
          <w:rFonts w:ascii="Arial" w:hAnsi="Arial" w:cs="Arial"/>
          <w:b/>
          <w:sz w:val="20"/>
          <w:szCs w:val="20"/>
        </w:rPr>
        <w:t xml:space="preserve"> i forhold til antal </w:t>
      </w:r>
      <w:r>
        <w:rPr>
          <w:rFonts w:ascii="Arial" w:hAnsi="Arial" w:cs="Arial"/>
          <w:b/>
          <w:sz w:val="20"/>
          <w:szCs w:val="20"/>
        </w:rPr>
        <w:t>selskaber</w:t>
      </w:r>
      <w:r w:rsidRPr="00FE6311">
        <w:rPr>
          <w:rFonts w:ascii="Arial" w:hAnsi="Arial" w:cs="Arial"/>
          <w:b/>
          <w:sz w:val="20"/>
          <w:szCs w:val="20"/>
        </w:rPr>
        <w:t xml:space="preserve"> i de respektive områder - i promille. </w:t>
      </w:r>
    </w:p>
    <w:p w:rsidR="009B0F62" w:rsidRDefault="008F2AA7" w:rsidP="00711B7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Hvis man ser på, hvor stor en andel de nyetablerede selskaber udgør af det samlede antal selskaber i de respektive områder</w:t>
      </w:r>
      <w:r w:rsidR="003B32D7">
        <w:rPr>
          <w:rFonts w:ascii="Arial" w:hAnsi="Arial"/>
          <w:sz w:val="20"/>
        </w:rPr>
        <w:t xml:space="preserve">, fremgår det at der i </w:t>
      </w:r>
      <w:r w:rsidR="00204FBF">
        <w:rPr>
          <w:rFonts w:ascii="Arial" w:hAnsi="Arial"/>
          <w:sz w:val="20"/>
        </w:rPr>
        <w:t>2</w:t>
      </w:r>
      <w:r w:rsidR="003B32D7">
        <w:rPr>
          <w:rFonts w:ascii="Arial" w:hAnsi="Arial"/>
          <w:sz w:val="20"/>
        </w:rPr>
        <w:t>. kvartal 2014 blev skabt 26,</w:t>
      </w:r>
      <w:r w:rsidR="00204FBF">
        <w:rPr>
          <w:rFonts w:ascii="Arial" w:hAnsi="Arial"/>
          <w:sz w:val="20"/>
        </w:rPr>
        <w:t>19</w:t>
      </w:r>
      <w:r w:rsidR="003B32D7">
        <w:rPr>
          <w:rFonts w:ascii="Arial" w:hAnsi="Arial"/>
          <w:sz w:val="20"/>
        </w:rPr>
        <w:t xml:space="preserve"> selskab pr. 1000 eksisterende selskab mod </w:t>
      </w:r>
      <w:r w:rsidR="00204FBF">
        <w:rPr>
          <w:rFonts w:ascii="Arial" w:hAnsi="Arial"/>
          <w:sz w:val="20"/>
        </w:rPr>
        <w:t>19,85 i 2</w:t>
      </w:r>
      <w:r w:rsidR="003B32D7">
        <w:rPr>
          <w:rFonts w:ascii="Arial" w:hAnsi="Arial"/>
          <w:sz w:val="20"/>
        </w:rPr>
        <w:t>. kvartal 2013. Det er hovedstaden der etablerer flest selskaber i forhold til hvor mange selskaber</w:t>
      </w:r>
      <w:r w:rsidR="00204FBF">
        <w:rPr>
          <w:rFonts w:ascii="Arial" w:hAnsi="Arial"/>
          <w:sz w:val="20"/>
        </w:rPr>
        <w:t>,</w:t>
      </w:r>
      <w:r w:rsidR="003B32D7">
        <w:rPr>
          <w:rFonts w:ascii="Arial" w:hAnsi="Arial"/>
          <w:sz w:val="20"/>
        </w:rPr>
        <w:t xml:space="preserve"> der allerede eksisterer i området</w:t>
      </w:r>
      <w:r w:rsidR="00633A42">
        <w:rPr>
          <w:rFonts w:ascii="Arial" w:hAnsi="Arial"/>
          <w:sz w:val="20"/>
        </w:rPr>
        <w:t xml:space="preserve"> – 30,12 selskab pr. 1000 </w:t>
      </w:r>
      <w:proofErr w:type="gramStart"/>
      <w:r w:rsidR="00633A42">
        <w:rPr>
          <w:rFonts w:ascii="Arial" w:hAnsi="Arial"/>
          <w:sz w:val="20"/>
        </w:rPr>
        <w:t>aktiv</w:t>
      </w:r>
      <w:proofErr w:type="gramEnd"/>
      <w:r w:rsidR="00633A42">
        <w:rPr>
          <w:rFonts w:ascii="Arial" w:hAnsi="Arial"/>
          <w:sz w:val="20"/>
        </w:rPr>
        <w:t xml:space="preserve"> selskab</w:t>
      </w:r>
      <w:r w:rsidR="003B32D7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</w:p>
    <w:p w:rsidR="00D6515D" w:rsidRDefault="00633A42" w:rsidP="00711B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>Hvis</w:t>
      </w:r>
      <w:r w:rsidR="008F2AA7">
        <w:rPr>
          <w:rFonts w:ascii="Arial" w:hAnsi="Arial"/>
          <w:sz w:val="20"/>
        </w:rPr>
        <w:t xml:space="preserve"> man ser på </w:t>
      </w:r>
      <w:r w:rsidR="009B0F62">
        <w:rPr>
          <w:rFonts w:ascii="Arial" w:hAnsi="Arial"/>
          <w:sz w:val="20"/>
        </w:rPr>
        <w:t>de sidste 12 måneder sammen</w:t>
      </w:r>
      <w:r w:rsidR="008F2AA7">
        <w:rPr>
          <w:rFonts w:ascii="Arial" w:hAnsi="Arial"/>
          <w:sz w:val="20"/>
        </w:rPr>
        <w:t xml:space="preserve">lignet med </w:t>
      </w:r>
      <w:r w:rsidR="009B0F62">
        <w:rPr>
          <w:rFonts w:ascii="Arial" w:hAnsi="Arial"/>
          <w:sz w:val="20"/>
        </w:rPr>
        <w:t>de forrige 12 måneder, kan man se at Bornholm stadig har den største procentuelle vækst.</w:t>
      </w:r>
      <w:r w:rsidR="00B028C0">
        <w:rPr>
          <w:rFonts w:ascii="Arial" w:hAnsi="Arial"/>
          <w:sz w:val="20"/>
        </w:rPr>
        <w:t xml:space="preserve"> </w:t>
      </w:r>
      <w:r w:rsidR="009B0F62">
        <w:rPr>
          <w:rFonts w:ascii="Arial" w:hAnsi="Arial"/>
          <w:sz w:val="20"/>
        </w:rPr>
        <w:t xml:space="preserve">Når man ser på hvor mange selskaber, der er etableret i forhold dem der eksisterer i forvejen, så ligger Bornholm til gengæld ret lavt – kun Grønland har en lavere andel. </w:t>
      </w:r>
      <w:r w:rsidR="00D6515D">
        <w:rPr>
          <w:rFonts w:ascii="Arial" w:hAnsi="Arial"/>
          <w:sz w:val="20"/>
        </w:rPr>
        <w:t xml:space="preserve">Hovedstaden har etableret </w:t>
      </w:r>
      <w:r>
        <w:rPr>
          <w:rFonts w:ascii="Arial" w:hAnsi="Arial"/>
          <w:sz w:val="20"/>
        </w:rPr>
        <w:t>næsten</w:t>
      </w:r>
      <w:r w:rsidR="00D6515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98</w:t>
      </w:r>
      <w:r w:rsidR="00D6515D">
        <w:rPr>
          <w:rFonts w:ascii="Arial" w:hAnsi="Arial"/>
          <w:sz w:val="20"/>
        </w:rPr>
        <w:t xml:space="preserve"> nye selskaber for hver eksisterende 1000 selskab i </w:t>
      </w:r>
      <w:r w:rsidR="003B32D7">
        <w:rPr>
          <w:rFonts w:ascii="Arial" w:hAnsi="Arial"/>
          <w:sz w:val="20"/>
        </w:rPr>
        <w:t>de seneste 12 måneder</w:t>
      </w:r>
      <w:r w:rsidR="00D6515D">
        <w:rPr>
          <w:rFonts w:ascii="Arial" w:hAnsi="Arial"/>
          <w:sz w:val="20"/>
        </w:rPr>
        <w:t xml:space="preserve"> og er det område med størst etableringsandel. Grønland, </w:t>
      </w:r>
      <w:r w:rsidR="003B32D7">
        <w:rPr>
          <w:rFonts w:ascii="Arial" w:hAnsi="Arial"/>
          <w:sz w:val="20"/>
        </w:rPr>
        <w:t xml:space="preserve">Bornholm </w:t>
      </w:r>
      <w:r w:rsidR="00D6515D">
        <w:rPr>
          <w:rFonts w:ascii="Arial" w:hAnsi="Arial"/>
          <w:sz w:val="20"/>
        </w:rPr>
        <w:t>og</w:t>
      </w:r>
      <w:r>
        <w:rPr>
          <w:rFonts w:ascii="Arial" w:hAnsi="Arial"/>
          <w:sz w:val="20"/>
        </w:rPr>
        <w:t xml:space="preserve"> Midt- og Vestjylland</w:t>
      </w:r>
      <w:r w:rsidR="003B32D7">
        <w:rPr>
          <w:rFonts w:ascii="Arial" w:hAnsi="Arial"/>
          <w:sz w:val="20"/>
        </w:rPr>
        <w:t xml:space="preserve"> </w:t>
      </w:r>
      <w:r w:rsidR="00D6515D">
        <w:rPr>
          <w:rFonts w:ascii="Arial" w:hAnsi="Arial"/>
          <w:sz w:val="20"/>
        </w:rPr>
        <w:t>ligger i den lavere ende.</w:t>
      </w:r>
    </w:p>
    <w:tbl>
      <w:tblPr>
        <w:tblW w:w="97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276"/>
        <w:gridCol w:w="1176"/>
        <w:gridCol w:w="1176"/>
        <w:gridCol w:w="1176"/>
        <w:gridCol w:w="256"/>
        <w:gridCol w:w="1176"/>
        <w:gridCol w:w="1176"/>
        <w:gridCol w:w="1176"/>
      </w:tblGrid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 kvartal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 kvartal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Juni/Juli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Juni/Juli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Difference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Område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12/13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13/14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Bornholm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30,7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Sydjylland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21,7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Hovedstaden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21,94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82,30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97,97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19,0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68,04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80,85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18,8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Midt- og Vestjylland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18,8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Østjylland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71,92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15,5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Sjælland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80,87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12,8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Nordjylland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69,23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77,12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11,4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Lolland - Falster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Grønland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-3,7</w:t>
            </w:r>
          </w:p>
        </w:tc>
      </w:tr>
      <w:tr w:rsidR="00204FBF" w:rsidTr="00204FBF">
        <w:trPr>
          <w:trHeight w:val="255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alt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19,85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26,19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31,9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FBF" w:rsidRDefault="00204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73,08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85,76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0095DA"/>
            <w:noWrap/>
            <w:vAlign w:val="bottom"/>
            <w:hideMark/>
          </w:tcPr>
          <w:p w:rsidR="00204FBF" w:rsidRDefault="00204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17,3</w:t>
            </w:r>
          </w:p>
        </w:tc>
      </w:tr>
    </w:tbl>
    <w:p w:rsidR="00711B70" w:rsidRPr="00FE6311" w:rsidRDefault="00711B70" w:rsidP="00711B70">
      <w:pPr>
        <w:rPr>
          <w:rFonts w:ascii="Arial" w:hAnsi="Arial" w:cs="Arial"/>
          <w:b/>
          <w:sz w:val="20"/>
          <w:szCs w:val="20"/>
        </w:rPr>
      </w:pPr>
    </w:p>
    <w:p w:rsidR="00711B70" w:rsidRDefault="00711B70" w:rsidP="00F91876">
      <w:pPr>
        <w:rPr>
          <w:rFonts w:ascii="Arial" w:hAnsi="Arial"/>
          <w:b/>
          <w:spacing w:val="6"/>
          <w:sz w:val="22"/>
          <w:szCs w:val="22"/>
        </w:rPr>
      </w:pPr>
    </w:p>
    <w:p w:rsidR="00711B70" w:rsidRDefault="00711B70" w:rsidP="00F91876">
      <w:pPr>
        <w:rPr>
          <w:rFonts w:ascii="Arial" w:hAnsi="Arial"/>
          <w:b/>
          <w:spacing w:val="6"/>
          <w:sz w:val="22"/>
          <w:szCs w:val="22"/>
        </w:rPr>
      </w:pPr>
    </w:p>
    <w:p w:rsidR="00711B70" w:rsidRDefault="00711B70" w:rsidP="00F91876">
      <w:pPr>
        <w:rPr>
          <w:rFonts w:ascii="Arial" w:hAnsi="Arial"/>
          <w:b/>
          <w:spacing w:val="6"/>
          <w:sz w:val="22"/>
          <w:szCs w:val="22"/>
        </w:rPr>
      </w:pPr>
    </w:p>
    <w:p w:rsidR="00711B70" w:rsidRDefault="00711B70" w:rsidP="00F91876">
      <w:pPr>
        <w:rPr>
          <w:rFonts w:ascii="Arial" w:hAnsi="Arial"/>
          <w:b/>
          <w:spacing w:val="6"/>
          <w:sz w:val="22"/>
          <w:szCs w:val="22"/>
        </w:rPr>
      </w:pPr>
    </w:p>
    <w:p w:rsidR="00F91876" w:rsidRDefault="00F91876" w:rsidP="00F91876">
      <w:pPr>
        <w:rPr>
          <w:rFonts w:ascii="Arial" w:hAnsi="Arial"/>
          <w:b/>
          <w:spacing w:val="6"/>
          <w:sz w:val="22"/>
          <w:szCs w:val="22"/>
        </w:rPr>
      </w:pPr>
      <w:r>
        <w:rPr>
          <w:rFonts w:ascii="Arial" w:hAnsi="Arial"/>
          <w:b/>
          <w:spacing w:val="6"/>
          <w:sz w:val="22"/>
          <w:szCs w:val="22"/>
        </w:rPr>
        <w:t>Kommentar til udviklingen i antallet af nyetablerede selskaber</w:t>
      </w:r>
    </w:p>
    <w:p w:rsidR="00F91876" w:rsidRDefault="00D6515D" w:rsidP="00F91876">
      <w:pPr>
        <w:rPr>
          <w:rFonts w:ascii="Arial" w:hAnsi="Arial"/>
          <w:b/>
          <w:spacing w:val="6"/>
          <w:sz w:val="22"/>
          <w:szCs w:val="22"/>
        </w:rPr>
      </w:pPr>
      <w:r>
        <w:rPr>
          <w:rFonts w:ascii="Arial" w:hAnsi="Arial"/>
          <w:spacing w:val="6"/>
          <w:sz w:val="20"/>
          <w:szCs w:val="20"/>
        </w:rPr>
        <w:t xml:space="preserve">Der har været </w:t>
      </w:r>
      <w:r w:rsidR="00633A42">
        <w:rPr>
          <w:rFonts w:ascii="Arial" w:hAnsi="Arial"/>
          <w:spacing w:val="6"/>
          <w:sz w:val="20"/>
          <w:szCs w:val="20"/>
        </w:rPr>
        <w:t>13.002</w:t>
      </w:r>
      <w:r>
        <w:rPr>
          <w:rFonts w:ascii="Arial" w:hAnsi="Arial"/>
          <w:spacing w:val="6"/>
          <w:sz w:val="20"/>
          <w:szCs w:val="20"/>
        </w:rPr>
        <w:t xml:space="preserve"> nyetableringer i </w:t>
      </w:r>
      <w:r w:rsidR="005B4C3D">
        <w:rPr>
          <w:rFonts w:ascii="Arial" w:hAnsi="Arial"/>
          <w:spacing w:val="6"/>
          <w:sz w:val="20"/>
          <w:szCs w:val="20"/>
        </w:rPr>
        <w:t xml:space="preserve">1. </w:t>
      </w:r>
      <w:r w:rsidR="00633A42">
        <w:rPr>
          <w:rFonts w:ascii="Arial" w:hAnsi="Arial"/>
          <w:spacing w:val="6"/>
          <w:sz w:val="20"/>
          <w:szCs w:val="20"/>
        </w:rPr>
        <w:t>halvår</w:t>
      </w:r>
      <w:r w:rsidR="005B4C3D">
        <w:rPr>
          <w:rFonts w:ascii="Arial" w:hAnsi="Arial"/>
          <w:spacing w:val="6"/>
          <w:sz w:val="20"/>
          <w:szCs w:val="20"/>
        </w:rPr>
        <w:t xml:space="preserve"> af 2014</w:t>
      </w:r>
      <w:r w:rsidR="00377238">
        <w:rPr>
          <w:rFonts w:ascii="Arial" w:hAnsi="Arial"/>
          <w:spacing w:val="6"/>
          <w:sz w:val="20"/>
          <w:szCs w:val="20"/>
        </w:rPr>
        <w:t xml:space="preserve"> og man skal helt tilbage til </w:t>
      </w:r>
      <w:r w:rsidR="005B4C3D">
        <w:rPr>
          <w:rFonts w:ascii="Arial" w:hAnsi="Arial"/>
          <w:spacing w:val="6"/>
          <w:sz w:val="20"/>
          <w:szCs w:val="20"/>
        </w:rPr>
        <w:t>2008</w:t>
      </w:r>
      <w:r w:rsidR="00377238">
        <w:rPr>
          <w:rFonts w:ascii="Arial" w:hAnsi="Arial"/>
          <w:spacing w:val="6"/>
          <w:sz w:val="20"/>
          <w:szCs w:val="20"/>
        </w:rPr>
        <w:t xml:space="preserve"> for at se et </w:t>
      </w:r>
      <w:r w:rsidR="005B4C3D">
        <w:rPr>
          <w:rFonts w:ascii="Arial" w:hAnsi="Arial"/>
          <w:spacing w:val="6"/>
          <w:sz w:val="20"/>
          <w:szCs w:val="20"/>
        </w:rPr>
        <w:t>højere</w:t>
      </w:r>
      <w:r w:rsidR="00377238">
        <w:rPr>
          <w:rFonts w:ascii="Arial" w:hAnsi="Arial"/>
          <w:spacing w:val="6"/>
          <w:sz w:val="20"/>
          <w:szCs w:val="20"/>
        </w:rPr>
        <w:t xml:space="preserve"> niveau.  </w:t>
      </w:r>
      <w:r w:rsidR="00F91876">
        <w:rPr>
          <w:rFonts w:ascii="Arial" w:hAnsi="Arial"/>
          <w:spacing w:val="6"/>
          <w:sz w:val="20"/>
          <w:szCs w:val="20"/>
        </w:rPr>
        <w:t xml:space="preserve"> </w:t>
      </w:r>
      <w:r w:rsidR="00831676">
        <w:rPr>
          <w:rFonts w:ascii="Arial" w:hAnsi="Arial"/>
          <w:spacing w:val="6"/>
          <w:sz w:val="20"/>
          <w:szCs w:val="20"/>
        </w:rPr>
        <w:tab/>
      </w:r>
      <w:r w:rsidR="00377238">
        <w:rPr>
          <w:rFonts w:ascii="Arial" w:hAnsi="Arial"/>
          <w:spacing w:val="6"/>
          <w:sz w:val="20"/>
          <w:szCs w:val="20"/>
        </w:rPr>
        <w:t>.</w:t>
      </w:r>
    </w:p>
    <w:p w:rsidR="00F91876" w:rsidRDefault="00F91876" w:rsidP="00CA789F">
      <w:pPr>
        <w:rPr>
          <w:rFonts w:ascii="Arial" w:hAnsi="Arial" w:cs="Arial"/>
          <w:sz w:val="20"/>
        </w:rPr>
      </w:pPr>
    </w:p>
    <w:p w:rsidR="007F398F" w:rsidRDefault="00633A42" w:rsidP="00CA789F">
      <w:pPr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301337B0" wp14:editId="41B9F1AA">
            <wp:extent cx="6076950" cy="2809875"/>
            <wp:effectExtent l="0" t="0" r="19050" b="9525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91876" w:rsidRDefault="00F91876" w:rsidP="00CA789F">
      <w:pPr>
        <w:rPr>
          <w:rFonts w:ascii="Arial" w:hAnsi="Arial" w:cs="Arial"/>
          <w:sz w:val="20"/>
        </w:rPr>
      </w:pPr>
    </w:p>
    <w:p w:rsidR="00377238" w:rsidRDefault="00377238" w:rsidP="00CA789F">
      <w:pPr>
        <w:rPr>
          <w:rFonts w:ascii="Arial" w:hAnsi="Arial" w:cs="Arial"/>
          <w:b/>
          <w:sz w:val="20"/>
        </w:rPr>
      </w:pPr>
    </w:p>
    <w:p w:rsidR="00377238" w:rsidRDefault="00377238" w:rsidP="00CA789F">
      <w:pPr>
        <w:rPr>
          <w:rFonts w:ascii="Arial" w:hAnsi="Arial" w:cs="Arial"/>
          <w:b/>
          <w:sz w:val="20"/>
        </w:rPr>
      </w:pPr>
    </w:p>
    <w:p w:rsidR="00377238" w:rsidRDefault="00377238" w:rsidP="00CA789F">
      <w:pPr>
        <w:rPr>
          <w:rFonts w:ascii="Arial" w:hAnsi="Arial" w:cs="Arial"/>
          <w:b/>
          <w:sz w:val="20"/>
        </w:rPr>
      </w:pPr>
    </w:p>
    <w:p w:rsidR="00377238" w:rsidRDefault="00377238" w:rsidP="00CA789F">
      <w:pPr>
        <w:rPr>
          <w:rFonts w:ascii="Arial" w:hAnsi="Arial" w:cs="Arial"/>
          <w:b/>
          <w:sz w:val="20"/>
        </w:rPr>
      </w:pPr>
    </w:p>
    <w:p w:rsidR="00377238" w:rsidRDefault="00377238" w:rsidP="00CA789F">
      <w:pPr>
        <w:rPr>
          <w:rFonts w:ascii="Arial" w:hAnsi="Arial" w:cs="Arial"/>
          <w:b/>
          <w:sz w:val="20"/>
        </w:rPr>
      </w:pPr>
    </w:p>
    <w:p w:rsidR="008A27DE" w:rsidRDefault="008A27DE" w:rsidP="00CA789F">
      <w:pPr>
        <w:rPr>
          <w:rFonts w:ascii="Arial" w:hAnsi="Arial" w:cs="Arial"/>
          <w:b/>
          <w:sz w:val="20"/>
        </w:rPr>
      </w:pPr>
    </w:p>
    <w:p w:rsidR="00377238" w:rsidRDefault="00377238" w:rsidP="00CA789F">
      <w:pPr>
        <w:rPr>
          <w:rFonts w:ascii="Arial" w:hAnsi="Arial" w:cs="Arial"/>
          <w:b/>
          <w:sz w:val="20"/>
        </w:rPr>
      </w:pPr>
    </w:p>
    <w:p w:rsidR="007F398F" w:rsidRPr="00892D61" w:rsidRDefault="007F398F" w:rsidP="00CA789F">
      <w:pPr>
        <w:rPr>
          <w:rFonts w:ascii="Arial" w:hAnsi="Arial" w:cs="Arial"/>
          <w:b/>
          <w:sz w:val="20"/>
        </w:rPr>
      </w:pPr>
      <w:r w:rsidRPr="00892D61">
        <w:rPr>
          <w:rFonts w:ascii="Arial" w:hAnsi="Arial" w:cs="Arial"/>
          <w:b/>
          <w:sz w:val="20"/>
        </w:rPr>
        <w:t xml:space="preserve">Top </w:t>
      </w:r>
      <w:r w:rsidR="00194FC4">
        <w:rPr>
          <w:rFonts w:ascii="Arial" w:hAnsi="Arial" w:cs="Arial"/>
          <w:b/>
          <w:sz w:val="20"/>
        </w:rPr>
        <w:t xml:space="preserve">20 </w:t>
      </w:r>
      <w:r w:rsidRPr="00892D61">
        <w:rPr>
          <w:rFonts w:ascii="Arial" w:hAnsi="Arial" w:cs="Arial"/>
          <w:b/>
          <w:sz w:val="20"/>
        </w:rPr>
        <w:t>over</w:t>
      </w:r>
      <w:r w:rsidR="00194FC4">
        <w:rPr>
          <w:rFonts w:ascii="Arial" w:hAnsi="Arial" w:cs="Arial"/>
          <w:b/>
          <w:sz w:val="20"/>
        </w:rPr>
        <w:t xml:space="preserve"> de mest entreprenante </w:t>
      </w:r>
      <w:r w:rsidRPr="00892D61">
        <w:rPr>
          <w:rFonts w:ascii="Arial" w:hAnsi="Arial" w:cs="Arial"/>
          <w:b/>
          <w:sz w:val="20"/>
        </w:rPr>
        <w:t>kommuner</w:t>
      </w:r>
      <w:r w:rsidR="00194FC4">
        <w:rPr>
          <w:rFonts w:ascii="Arial" w:hAnsi="Arial" w:cs="Arial"/>
          <w:b/>
          <w:sz w:val="20"/>
        </w:rPr>
        <w:t xml:space="preserve"> i Danmark</w:t>
      </w:r>
      <w:r w:rsidRPr="00892D61">
        <w:rPr>
          <w:rFonts w:ascii="Arial" w:hAnsi="Arial" w:cs="Arial"/>
          <w:b/>
          <w:sz w:val="20"/>
        </w:rPr>
        <w:t>.</w:t>
      </w:r>
    </w:p>
    <w:p w:rsidR="007F398F" w:rsidRDefault="007F398F" w:rsidP="00CA789F">
      <w:pPr>
        <w:rPr>
          <w:rFonts w:ascii="Arial" w:hAnsi="Arial" w:cs="Arial"/>
          <w:sz w:val="20"/>
        </w:rPr>
      </w:pPr>
    </w:p>
    <w:tbl>
      <w:tblPr>
        <w:tblW w:w="5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599"/>
        <w:gridCol w:w="2153"/>
      </w:tblGrid>
      <w:tr w:rsidR="008C4121" w:rsidTr="005A2D51">
        <w:trPr>
          <w:trHeight w:val="510"/>
        </w:trPr>
        <w:tc>
          <w:tcPr>
            <w:tcW w:w="174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4121" w:rsidRDefault="008C4121" w:rsidP="005A2D5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Kommune</w:t>
            </w:r>
          </w:p>
        </w:tc>
        <w:tc>
          <w:tcPr>
            <w:tcW w:w="1599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8C4121" w:rsidRDefault="008C4121" w:rsidP="005A2D5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Antal nyetableringer</w:t>
            </w:r>
          </w:p>
        </w:tc>
        <w:tc>
          <w:tcPr>
            <w:tcW w:w="2153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vAlign w:val="bottom"/>
            <w:hideMark/>
          </w:tcPr>
          <w:p w:rsidR="008C4121" w:rsidRDefault="008C4121" w:rsidP="005A2D5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Nye selskaber pr. 1000 indbygger over 18 år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Gentofte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3,523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Rudersdal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2,731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Hørsholm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2,686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København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2,601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Frederiksberg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2,288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Greve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2,234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Herlev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2,179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Dragør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2,125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Ikast-Brande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2,117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Albertslund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1,915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Solrød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1,913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Furesø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1,886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Fanø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1,871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Lejre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1,840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0"/>
                <w:szCs w:val="20"/>
              </w:rPr>
              <w:t>Egedal</w:t>
            </w:r>
            <w:proofErr w:type="spellEnd"/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1,813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Roskilde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1,775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Århus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1,765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Køge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1,753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Morsø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1,728</w:t>
            </w:r>
          </w:p>
        </w:tc>
      </w:tr>
      <w:tr w:rsidR="008C4121" w:rsidTr="005A2D51">
        <w:trPr>
          <w:trHeight w:val="255"/>
        </w:trPr>
        <w:tc>
          <w:tcPr>
            <w:tcW w:w="174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Allerød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8C4121" w:rsidRDefault="008C4121" w:rsidP="005A2D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1,721</w:t>
            </w:r>
          </w:p>
        </w:tc>
      </w:tr>
    </w:tbl>
    <w:p w:rsidR="007F398F" w:rsidRDefault="007F398F" w:rsidP="00CA789F">
      <w:pPr>
        <w:rPr>
          <w:rFonts w:ascii="Arial" w:hAnsi="Arial" w:cs="Arial"/>
          <w:sz w:val="20"/>
        </w:rPr>
      </w:pPr>
    </w:p>
    <w:p w:rsidR="00256D04" w:rsidRDefault="00256D04" w:rsidP="00CA78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</w:t>
      </w:r>
      <w:r w:rsidR="008C4121">
        <w:rPr>
          <w:rFonts w:ascii="Arial" w:hAnsi="Arial" w:cs="Arial"/>
          <w:sz w:val="20"/>
        </w:rPr>
        <w:t>2</w:t>
      </w:r>
      <w:r w:rsidR="00892D61">
        <w:rPr>
          <w:rFonts w:ascii="Arial" w:hAnsi="Arial" w:cs="Arial"/>
          <w:sz w:val="20"/>
        </w:rPr>
        <w:t>.kvartal</w:t>
      </w:r>
      <w:r w:rsidR="00831676">
        <w:rPr>
          <w:rFonts w:ascii="Arial" w:hAnsi="Arial" w:cs="Arial"/>
          <w:sz w:val="20"/>
        </w:rPr>
        <w:t xml:space="preserve"> af 2014</w:t>
      </w:r>
      <w:r>
        <w:rPr>
          <w:rFonts w:ascii="Arial" w:hAnsi="Arial" w:cs="Arial"/>
          <w:sz w:val="20"/>
        </w:rPr>
        <w:t xml:space="preserve"> har </w:t>
      </w:r>
      <w:r w:rsidR="00F1283D">
        <w:rPr>
          <w:rFonts w:ascii="Arial" w:hAnsi="Arial" w:cs="Arial"/>
          <w:sz w:val="20"/>
        </w:rPr>
        <w:t>Gentofte</w:t>
      </w:r>
      <w:r>
        <w:rPr>
          <w:rFonts w:ascii="Arial" w:hAnsi="Arial" w:cs="Arial"/>
          <w:sz w:val="20"/>
        </w:rPr>
        <w:t xml:space="preserve"> kommune relativt flest nyetableringer pr. 1000 indbygger over 18 år.</w:t>
      </w:r>
      <w:r w:rsidR="00582D7C">
        <w:rPr>
          <w:rFonts w:ascii="Arial" w:hAnsi="Arial" w:cs="Arial"/>
          <w:sz w:val="20"/>
        </w:rPr>
        <w:t xml:space="preserve"> </w:t>
      </w:r>
      <w:r w:rsidR="008C4121">
        <w:rPr>
          <w:rFonts w:ascii="Arial" w:hAnsi="Arial" w:cs="Arial"/>
          <w:sz w:val="20"/>
        </w:rPr>
        <w:t>Der etableres godt 3,5 selskab pr. 1000 indbygger over 18 år i Gentofte.</w:t>
      </w:r>
    </w:p>
    <w:p w:rsidR="00256D04" w:rsidRDefault="00256D04" w:rsidP="00CA78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Det er de nordsjællandske kommuner som præger </w:t>
      </w:r>
      <w:r w:rsidR="00BF2F98">
        <w:rPr>
          <w:rFonts w:ascii="Arial" w:hAnsi="Arial" w:cs="Arial"/>
          <w:sz w:val="20"/>
        </w:rPr>
        <w:t>toppen af listen.</w:t>
      </w:r>
    </w:p>
    <w:p w:rsidR="00BF2F98" w:rsidRDefault="00BF2F98" w:rsidP="00CA789F">
      <w:pPr>
        <w:rPr>
          <w:rFonts w:ascii="Arial" w:hAnsi="Arial" w:cs="Arial"/>
          <w:sz w:val="20"/>
        </w:rPr>
      </w:pPr>
    </w:p>
    <w:p w:rsidR="007F398F" w:rsidRDefault="007F398F" w:rsidP="00CA789F">
      <w:pPr>
        <w:rPr>
          <w:rFonts w:ascii="Arial" w:hAnsi="Arial" w:cs="Arial"/>
          <w:sz w:val="20"/>
        </w:rPr>
      </w:pPr>
    </w:p>
    <w:p w:rsidR="007F398F" w:rsidRDefault="007F398F" w:rsidP="00CA789F">
      <w:pPr>
        <w:rPr>
          <w:rFonts w:ascii="Arial" w:hAnsi="Arial" w:cs="Arial"/>
          <w:sz w:val="20"/>
        </w:rPr>
      </w:pPr>
    </w:p>
    <w:p w:rsidR="00F85FB3" w:rsidRDefault="00F85FB3" w:rsidP="00CA789F">
      <w:pPr>
        <w:rPr>
          <w:rFonts w:ascii="Arial" w:hAnsi="Arial" w:cs="Arial"/>
          <w:sz w:val="20"/>
        </w:rPr>
      </w:pPr>
    </w:p>
    <w:p w:rsidR="00BF2F98" w:rsidRDefault="00BF2F98" w:rsidP="00CA789F">
      <w:pPr>
        <w:rPr>
          <w:rFonts w:ascii="Arial" w:hAnsi="Arial" w:cs="Arial"/>
          <w:sz w:val="20"/>
        </w:rPr>
      </w:pPr>
    </w:p>
    <w:p w:rsidR="00BF2F98" w:rsidRDefault="00BF2F98" w:rsidP="00CA789F">
      <w:pPr>
        <w:rPr>
          <w:rFonts w:ascii="Arial" w:hAnsi="Arial" w:cs="Arial"/>
          <w:sz w:val="20"/>
        </w:rPr>
      </w:pPr>
    </w:p>
    <w:p w:rsidR="00F85FB3" w:rsidRDefault="00F85FB3" w:rsidP="00CA789F">
      <w:pPr>
        <w:rPr>
          <w:rFonts w:ascii="Arial" w:hAnsi="Arial" w:cs="Arial"/>
          <w:sz w:val="20"/>
        </w:rPr>
      </w:pPr>
    </w:p>
    <w:p w:rsidR="00F85FB3" w:rsidRDefault="00F85FB3" w:rsidP="00CA789F">
      <w:pPr>
        <w:rPr>
          <w:rFonts w:ascii="Arial" w:hAnsi="Arial" w:cs="Arial"/>
          <w:sz w:val="20"/>
        </w:rPr>
      </w:pPr>
    </w:p>
    <w:p w:rsidR="00F85FB3" w:rsidRDefault="00F85FB3" w:rsidP="00CA789F">
      <w:pPr>
        <w:rPr>
          <w:rFonts w:ascii="Arial" w:hAnsi="Arial" w:cs="Arial"/>
          <w:sz w:val="20"/>
        </w:rPr>
      </w:pPr>
    </w:p>
    <w:p w:rsidR="002B2ACE" w:rsidRPr="002B2ACE" w:rsidRDefault="002B2ACE" w:rsidP="002B2ACE">
      <w:pPr>
        <w:ind w:left="360"/>
        <w:rPr>
          <w:rFonts w:ascii="Arial" w:hAnsi="Arial"/>
          <w:b/>
          <w:sz w:val="20"/>
          <w:szCs w:val="20"/>
          <w:lang w:val="de-DE"/>
        </w:rPr>
      </w:pPr>
      <w:proofErr w:type="spellStart"/>
      <w:r w:rsidRPr="002B2ACE">
        <w:rPr>
          <w:rFonts w:ascii="Arial" w:hAnsi="Arial"/>
          <w:b/>
          <w:sz w:val="20"/>
          <w:szCs w:val="20"/>
          <w:lang w:val="de-DE"/>
        </w:rPr>
        <w:t>Definitioner</w:t>
      </w:r>
      <w:proofErr w:type="spellEnd"/>
      <w:r w:rsidRPr="002B2ACE">
        <w:rPr>
          <w:rFonts w:ascii="Arial" w:hAnsi="Arial"/>
          <w:b/>
          <w:sz w:val="20"/>
          <w:szCs w:val="20"/>
          <w:lang w:val="de-DE"/>
        </w:rPr>
        <w:t>:</w:t>
      </w:r>
    </w:p>
    <w:p w:rsidR="002B2ACE" w:rsidRDefault="002B2ACE" w:rsidP="002B2ACE">
      <w:pPr>
        <w:ind w:left="360"/>
        <w:rPr>
          <w:rFonts w:ascii="Arial" w:hAnsi="Arial"/>
          <w:sz w:val="20"/>
          <w:szCs w:val="20"/>
          <w:lang w:val="de-DE"/>
        </w:rPr>
      </w:pPr>
    </w:p>
    <w:tbl>
      <w:tblPr>
        <w:tblW w:w="39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0"/>
      </w:tblGrid>
      <w:tr w:rsidR="002B2ACE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2B2ACE" w:rsidRDefault="002B2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Område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ACE" w:rsidRDefault="002B2A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Postnummer interval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Hovedstaden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 w:rsidP="00DB3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1000-3670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Bornholm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3700-3790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Sjælland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4000-4793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Lolland - Falster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4800-4990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5000-5985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Sydjylland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6000-6990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Midt- og Vestjylland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7000-7990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Østjylland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8000-8990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Nordjylland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9000-9990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Grønland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3900-3995</w:t>
            </w:r>
          </w:p>
        </w:tc>
      </w:tr>
      <w:tr w:rsidR="000E232A" w:rsidTr="000E232A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Færøerne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32A" w:rsidRDefault="000E2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0100-0970</w:t>
            </w:r>
          </w:p>
        </w:tc>
      </w:tr>
    </w:tbl>
    <w:p w:rsidR="002B2ACE" w:rsidRDefault="002B2ACE" w:rsidP="002B2ACE">
      <w:pPr>
        <w:ind w:left="360"/>
        <w:rPr>
          <w:sz w:val="20"/>
          <w:szCs w:val="20"/>
          <w:lang w:val="de-DE"/>
        </w:rPr>
      </w:pPr>
    </w:p>
    <w:sectPr w:rsidR="002B2ACE" w:rsidSect="00C0257F"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B3" w:rsidRDefault="00F85FB3">
      <w:r>
        <w:separator/>
      </w:r>
    </w:p>
  </w:endnote>
  <w:endnote w:type="continuationSeparator" w:id="0">
    <w:p w:rsidR="00F85FB3" w:rsidRDefault="00F8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B3" w:rsidRDefault="00F85FB3">
      <w:r>
        <w:separator/>
      </w:r>
    </w:p>
  </w:footnote>
  <w:footnote w:type="continuationSeparator" w:id="0">
    <w:p w:rsidR="00F85FB3" w:rsidRDefault="00F8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5BCC"/>
    <w:multiLevelType w:val="hybridMultilevel"/>
    <w:tmpl w:val="C87E478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A3"/>
    <w:rsid w:val="00000B84"/>
    <w:rsid w:val="00007861"/>
    <w:rsid w:val="00007F79"/>
    <w:rsid w:val="000119DC"/>
    <w:rsid w:val="000175E1"/>
    <w:rsid w:val="000176B8"/>
    <w:rsid w:val="000273CD"/>
    <w:rsid w:val="0003757E"/>
    <w:rsid w:val="0006738E"/>
    <w:rsid w:val="00080B44"/>
    <w:rsid w:val="000858D2"/>
    <w:rsid w:val="00091FE6"/>
    <w:rsid w:val="00093608"/>
    <w:rsid w:val="000A1A62"/>
    <w:rsid w:val="000A4022"/>
    <w:rsid w:val="000A4BBF"/>
    <w:rsid w:val="000B4083"/>
    <w:rsid w:val="000C11FE"/>
    <w:rsid w:val="000C5404"/>
    <w:rsid w:val="000C7D10"/>
    <w:rsid w:val="000D1AC6"/>
    <w:rsid w:val="000D3B96"/>
    <w:rsid w:val="000D509F"/>
    <w:rsid w:val="000E0FD1"/>
    <w:rsid w:val="000E232A"/>
    <w:rsid w:val="000E61F9"/>
    <w:rsid w:val="000E7851"/>
    <w:rsid w:val="00102B8F"/>
    <w:rsid w:val="00103EE6"/>
    <w:rsid w:val="00122D7A"/>
    <w:rsid w:val="00123E1E"/>
    <w:rsid w:val="0013087E"/>
    <w:rsid w:val="00133BB6"/>
    <w:rsid w:val="00135FFF"/>
    <w:rsid w:val="00146790"/>
    <w:rsid w:val="00146E0F"/>
    <w:rsid w:val="001471A8"/>
    <w:rsid w:val="00147647"/>
    <w:rsid w:val="00151E5A"/>
    <w:rsid w:val="001537B5"/>
    <w:rsid w:val="001543C6"/>
    <w:rsid w:val="00157534"/>
    <w:rsid w:val="00157CD5"/>
    <w:rsid w:val="001618F4"/>
    <w:rsid w:val="00170653"/>
    <w:rsid w:val="0017183D"/>
    <w:rsid w:val="00177E5B"/>
    <w:rsid w:val="001823FD"/>
    <w:rsid w:val="00192CC5"/>
    <w:rsid w:val="00194FC4"/>
    <w:rsid w:val="001A1A89"/>
    <w:rsid w:val="001A1EA9"/>
    <w:rsid w:val="001A2F0C"/>
    <w:rsid w:val="001B59EC"/>
    <w:rsid w:val="001C5C88"/>
    <w:rsid w:val="001C7670"/>
    <w:rsid w:val="001D3BA7"/>
    <w:rsid w:val="001D6DDC"/>
    <w:rsid w:val="001E0F75"/>
    <w:rsid w:val="001E4C2B"/>
    <w:rsid w:val="001E7666"/>
    <w:rsid w:val="001F2DEA"/>
    <w:rsid w:val="001F5A66"/>
    <w:rsid w:val="00201877"/>
    <w:rsid w:val="002040AE"/>
    <w:rsid w:val="00204FBF"/>
    <w:rsid w:val="002054F6"/>
    <w:rsid w:val="002069FB"/>
    <w:rsid w:val="002110CE"/>
    <w:rsid w:val="002154C7"/>
    <w:rsid w:val="002207D6"/>
    <w:rsid w:val="00222C78"/>
    <w:rsid w:val="00225B4B"/>
    <w:rsid w:val="002279D1"/>
    <w:rsid w:val="002378B9"/>
    <w:rsid w:val="00241969"/>
    <w:rsid w:val="00242034"/>
    <w:rsid w:val="00256D04"/>
    <w:rsid w:val="002700D7"/>
    <w:rsid w:val="0027040C"/>
    <w:rsid w:val="002705C5"/>
    <w:rsid w:val="00273B86"/>
    <w:rsid w:val="00276E55"/>
    <w:rsid w:val="00281024"/>
    <w:rsid w:val="002949EB"/>
    <w:rsid w:val="00296A07"/>
    <w:rsid w:val="002A305A"/>
    <w:rsid w:val="002B0357"/>
    <w:rsid w:val="002B2ACE"/>
    <w:rsid w:val="002B2CC7"/>
    <w:rsid w:val="002B4653"/>
    <w:rsid w:val="002B4A27"/>
    <w:rsid w:val="002B538D"/>
    <w:rsid w:val="002B60AA"/>
    <w:rsid w:val="002C069E"/>
    <w:rsid w:val="002D01C2"/>
    <w:rsid w:val="002D14E7"/>
    <w:rsid w:val="002D1758"/>
    <w:rsid w:val="002D5FF5"/>
    <w:rsid w:val="002F0B79"/>
    <w:rsid w:val="002F65AA"/>
    <w:rsid w:val="002F6666"/>
    <w:rsid w:val="00310A15"/>
    <w:rsid w:val="0031355D"/>
    <w:rsid w:val="00315967"/>
    <w:rsid w:val="00317F2F"/>
    <w:rsid w:val="003204B2"/>
    <w:rsid w:val="00323C5B"/>
    <w:rsid w:val="00333B89"/>
    <w:rsid w:val="0035019E"/>
    <w:rsid w:val="0035350B"/>
    <w:rsid w:val="003538AD"/>
    <w:rsid w:val="00354121"/>
    <w:rsid w:val="00364854"/>
    <w:rsid w:val="00374749"/>
    <w:rsid w:val="00375489"/>
    <w:rsid w:val="00377238"/>
    <w:rsid w:val="00393D5C"/>
    <w:rsid w:val="00395D18"/>
    <w:rsid w:val="0039777B"/>
    <w:rsid w:val="003977FB"/>
    <w:rsid w:val="003B294E"/>
    <w:rsid w:val="003B32D7"/>
    <w:rsid w:val="003B3485"/>
    <w:rsid w:val="003B3DC3"/>
    <w:rsid w:val="003B574C"/>
    <w:rsid w:val="003B586B"/>
    <w:rsid w:val="003D3138"/>
    <w:rsid w:val="003D6EC1"/>
    <w:rsid w:val="003E5B14"/>
    <w:rsid w:val="003E7F57"/>
    <w:rsid w:val="003F2254"/>
    <w:rsid w:val="0040432D"/>
    <w:rsid w:val="00406EDB"/>
    <w:rsid w:val="00422EA6"/>
    <w:rsid w:val="00423082"/>
    <w:rsid w:val="00423E9F"/>
    <w:rsid w:val="004243D6"/>
    <w:rsid w:val="00433087"/>
    <w:rsid w:val="00440848"/>
    <w:rsid w:val="004463F6"/>
    <w:rsid w:val="00447C60"/>
    <w:rsid w:val="00450BE6"/>
    <w:rsid w:val="0047315A"/>
    <w:rsid w:val="00482951"/>
    <w:rsid w:val="00483925"/>
    <w:rsid w:val="004842A8"/>
    <w:rsid w:val="00492274"/>
    <w:rsid w:val="00493C8C"/>
    <w:rsid w:val="004A513C"/>
    <w:rsid w:val="004A638D"/>
    <w:rsid w:val="004B131A"/>
    <w:rsid w:val="004B1391"/>
    <w:rsid w:val="004B2E39"/>
    <w:rsid w:val="004B518E"/>
    <w:rsid w:val="004B74EF"/>
    <w:rsid w:val="004C5BD8"/>
    <w:rsid w:val="004D4CD1"/>
    <w:rsid w:val="004D5535"/>
    <w:rsid w:val="004D7706"/>
    <w:rsid w:val="004E22E4"/>
    <w:rsid w:val="004E28CB"/>
    <w:rsid w:val="004F2CF8"/>
    <w:rsid w:val="004F6E6E"/>
    <w:rsid w:val="00507EF7"/>
    <w:rsid w:val="00531778"/>
    <w:rsid w:val="00533FB6"/>
    <w:rsid w:val="00536F3A"/>
    <w:rsid w:val="0054084E"/>
    <w:rsid w:val="00547D8E"/>
    <w:rsid w:val="00547EB3"/>
    <w:rsid w:val="00561027"/>
    <w:rsid w:val="00562A32"/>
    <w:rsid w:val="00563DCA"/>
    <w:rsid w:val="00564CF4"/>
    <w:rsid w:val="00566B43"/>
    <w:rsid w:val="00572DE8"/>
    <w:rsid w:val="00575261"/>
    <w:rsid w:val="00576556"/>
    <w:rsid w:val="00582D7C"/>
    <w:rsid w:val="00583CAE"/>
    <w:rsid w:val="00585418"/>
    <w:rsid w:val="00595A4A"/>
    <w:rsid w:val="005A1F5E"/>
    <w:rsid w:val="005A2AF6"/>
    <w:rsid w:val="005A3346"/>
    <w:rsid w:val="005A4CCC"/>
    <w:rsid w:val="005B4C3D"/>
    <w:rsid w:val="005E66AC"/>
    <w:rsid w:val="005E6E0F"/>
    <w:rsid w:val="005F121D"/>
    <w:rsid w:val="005F42B7"/>
    <w:rsid w:val="00600A81"/>
    <w:rsid w:val="006014AF"/>
    <w:rsid w:val="00606D6F"/>
    <w:rsid w:val="0061091D"/>
    <w:rsid w:val="006134D3"/>
    <w:rsid w:val="006146D8"/>
    <w:rsid w:val="00616E3C"/>
    <w:rsid w:val="00622BBA"/>
    <w:rsid w:val="006230B1"/>
    <w:rsid w:val="006256AD"/>
    <w:rsid w:val="00633A42"/>
    <w:rsid w:val="00636662"/>
    <w:rsid w:val="00640780"/>
    <w:rsid w:val="006445EE"/>
    <w:rsid w:val="006537BF"/>
    <w:rsid w:val="00667290"/>
    <w:rsid w:val="006802A2"/>
    <w:rsid w:val="00680393"/>
    <w:rsid w:val="00681996"/>
    <w:rsid w:val="00681E75"/>
    <w:rsid w:val="0068780B"/>
    <w:rsid w:val="0069041F"/>
    <w:rsid w:val="006956E1"/>
    <w:rsid w:val="00697500"/>
    <w:rsid w:val="006A01BE"/>
    <w:rsid w:val="006A400F"/>
    <w:rsid w:val="006B735C"/>
    <w:rsid w:val="006C4C0E"/>
    <w:rsid w:val="006D3A76"/>
    <w:rsid w:val="006D50B9"/>
    <w:rsid w:val="006E0603"/>
    <w:rsid w:val="006E2533"/>
    <w:rsid w:val="007014F2"/>
    <w:rsid w:val="007065F7"/>
    <w:rsid w:val="00706BEF"/>
    <w:rsid w:val="0071015B"/>
    <w:rsid w:val="00711B70"/>
    <w:rsid w:val="00715E57"/>
    <w:rsid w:val="0071609B"/>
    <w:rsid w:val="007219DF"/>
    <w:rsid w:val="00723CF6"/>
    <w:rsid w:val="00724331"/>
    <w:rsid w:val="00726C1D"/>
    <w:rsid w:val="0074051F"/>
    <w:rsid w:val="00740EF4"/>
    <w:rsid w:val="007415A3"/>
    <w:rsid w:val="007502AF"/>
    <w:rsid w:val="00752297"/>
    <w:rsid w:val="00754161"/>
    <w:rsid w:val="00754F35"/>
    <w:rsid w:val="00756EF1"/>
    <w:rsid w:val="00763DDE"/>
    <w:rsid w:val="007737B0"/>
    <w:rsid w:val="00775B65"/>
    <w:rsid w:val="00776E82"/>
    <w:rsid w:val="00777BED"/>
    <w:rsid w:val="00791388"/>
    <w:rsid w:val="00792CF7"/>
    <w:rsid w:val="00793784"/>
    <w:rsid w:val="007B0B68"/>
    <w:rsid w:val="007C1ECE"/>
    <w:rsid w:val="007C5025"/>
    <w:rsid w:val="007C5BFE"/>
    <w:rsid w:val="007D17F3"/>
    <w:rsid w:val="007D5514"/>
    <w:rsid w:val="007D7F6C"/>
    <w:rsid w:val="007E0A36"/>
    <w:rsid w:val="007E34CA"/>
    <w:rsid w:val="007F398F"/>
    <w:rsid w:val="007F5DC0"/>
    <w:rsid w:val="007F7D8A"/>
    <w:rsid w:val="008004D7"/>
    <w:rsid w:val="00803402"/>
    <w:rsid w:val="008072B0"/>
    <w:rsid w:val="00820026"/>
    <w:rsid w:val="008216E2"/>
    <w:rsid w:val="00826BEC"/>
    <w:rsid w:val="00831676"/>
    <w:rsid w:val="00845595"/>
    <w:rsid w:val="008469B4"/>
    <w:rsid w:val="00852780"/>
    <w:rsid w:val="00854736"/>
    <w:rsid w:val="00857366"/>
    <w:rsid w:val="00863EB9"/>
    <w:rsid w:val="00866C76"/>
    <w:rsid w:val="0087577F"/>
    <w:rsid w:val="0088133D"/>
    <w:rsid w:val="00890A55"/>
    <w:rsid w:val="00891086"/>
    <w:rsid w:val="00892D61"/>
    <w:rsid w:val="0089731B"/>
    <w:rsid w:val="008A27DE"/>
    <w:rsid w:val="008A43E4"/>
    <w:rsid w:val="008A6BDC"/>
    <w:rsid w:val="008B3C42"/>
    <w:rsid w:val="008B45E5"/>
    <w:rsid w:val="008B5C08"/>
    <w:rsid w:val="008C4121"/>
    <w:rsid w:val="008C5D46"/>
    <w:rsid w:val="008D4FB0"/>
    <w:rsid w:val="008D6360"/>
    <w:rsid w:val="008E6423"/>
    <w:rsid w:val="008F2AA7"/>
    <w:rsid w:val="008F3A8D"/>
    <w:rsid w:val="00901946"/>
    <w:rsid w:val="009150F5"/>
    <w:rsid w:val="00922BAF"/>
    <w:rsid w:val="009237DC"/>
    <w:rsid w:val="009246BC"/>
    <w:rsid w:val="00947461"/>
    <w:rsid w:val="00947769"/>
    <w:rsid w:val="0095201B"/>
    <w:rsid w:val="00962C44"/>
    <w:rsid w:val="00971B1B"/>
    <w:rsid w:val="00973296"/>
    <w:rsid w:val="00983880"/>
    <w:rsid w:val="009942D3"/>
    <w:rsid w:val="00997093"/>
    <w:rsid w:val="00997116"/>
    <w:rsid w:val="009978B8"/>
    <w:rsid w:val="009A071A"/>
    <w:rsid w:val="009A3BED"/>
    <w:rsid w:val="009B0F62"/>
    <w:rsid w:val="009B3322"/>
    <w:rsid w:val="009C39E2"/>
    <w:rsid w:val="009F7B5D"/>
    <w:rsid w:val="00A02D40"/>
    <w:rsid w:val="00A109D6"/>
    <w:rsid w:val="00A10EAD"/>
    <w:rsid w:val="00A24840"/>
    <w:rsid w:val="00A315CD"/>
    <w:rsid w:val="00A3225B"/>
    <w:rsid w:val="00A3286E"/>
    <w:rsid w:val="00A352AC"/>
    <w:rsid w:val="00A408AB"/>
    <w:rsid w:val="00A4127D"/>
    <w:rsid w:val="00A42E92"/>
    <w:rsid w:val="00A468C8"/>
    <w:rsid w:val="00A52F23"/>
    <w:rsid w:val="00A54CDC"/>
    <w:rsid w:val="00A571C4"/>
    <w:rsid w:val="00A61D17"/>
    <w:rsid w:val="00A63EC2"/>
    <w:rsid w:val="00A66114"/>
    <w:rsid w:val="00A67CBE"/>
    <w:rsid w:val="00A72478"/>
    <w:rsid w:val="00A72D1D"/>
    <w:rsid w:val="00A73FCB"/>
    <w:rsid w:val="00A76107"/>
    <w:rsid w:val="00A82387"/>
    <w:rsid w:val="00A82887"/>
    <w:rsid w:val="00A861BA"/>
    <w:rsid w:val="00AB5DD6"/>
    <w:rsid w:val="00AB6114"/>
    <w:rsid w:val="00AC3BE2"/>
    <w:rsid w:val="00AC57A2"/>
    <w:rsid w:val="00AD1A24"/>
    <w:rsid w:val="00AD3C5F"/>
    <w:rsid w:val="00AE6149"/>
    <w:rsid w:val="00AF1B93"/>
    <w:rsid w:val="00AF58A3"/>
    <w:rsid w:val="00B028C0"/>
    <w:rsid w:val="00B04A91"/>
    <w:rsid w:val="00B20072"/>
    <w:rsid w:val="00B22515"/>
    <w:rsid w:val="00B229D4"/>
    <w:rsid w:val="00B24807"/>
    <w:rsid w:val="00B25D88"/>
    <w:rsid w:val="00B403F2"/>
    <w:rsid w:val="00B445DA"/>
    <w:rsid w:val="00B4502D"/>
    <w:rsid w:val="00B5180B"/>
    <w:rsid w:val="00B52E5F"/>
    <w:rsid w:val="00B53DA7"/>
    <w:rsid w:val="00B6139D"/>
    <w:rsid w:val="00B72534"/>
    <w:rsid w:val="00B830DA"/>
    <w:rsid w:val="00B86ECD"/>
    <w:rsid w:val="00B86EE1"/>
    <w:rsid w:val="00B92983"/>
    <w:rsid w:val="00B957AC"/>
    <w:rsid w:val="00BA22F9"/>
    <w:rsid w:val="00BB6C96"/>
    <w:rsid w:val="00BB729F"/>
    <w:rsid w:val="00BC425E"/>
    <w:rsid w:val="00BC505F"/>
    <w:rsid w:val="00BD0F47"/>
    <w:rsid w:val="00BD39F7"/>
    <w:rsid w:val="00BD67C8"/>
    <w:rsid w:val="00BE2775"/>
    <w:rsid w:val="00BF2F98"/>
    <w:rsid w:val="00C0257F"/>
    <w:rsid w:val="00C02AF5"/>
    <w:rsid w:val="00C030DD"/>
    <w:rsid w:val="00C03F44"/>
    <w:rsid w:val="00C0545B"/>
    <w:rsid w:val="00C20956"/>
    <w:rsid w:val="00C20C06"/>
    <w:rsid w:val="00C26C72"/>
    <w:rsid w:val="00C33A8B"/>
    <w:rsid w:val="00C3599D"/>
    <w:rsid w:val="00C37FBA"/>
    <w:rsid w:val="00C52AA3"/>
    <w:rsid w:val="00C71A74"/>
    <w:rsid w:val="00C825BD"/>
    <w:rsid w:val="00C8678D"/>
    <w:rsid w:val="00C95327"/>
    <w:rsid w:val="00C96B72"/>
    <w:rsid w:val="00C96D67"/>
    <w:rsid w:val="00C97272"/>
    <w:rsid w:val="00CA4AD1"/>
    <w:rsid w:val="00CA6C1E"/>
    <w:rsid w:val="00CA789F"/>
    <w:rsid w:val="00CA7C25"/>
    <w:rsid w:val="00CB319F"/>
    <w:rsid w:val="00CB34DE"/>
    <w:rsid w:val="00CB7FBC"/>
    <w:rsid w:val="00CE0917"/>
    <w:rsid w:val="00CE1AD0"/>
    <w:rsid w:val="00CE67D5"/>
    <w:rsid w:val="00CF2691"/>
    <w:rsid w:val="00D02202"/>
    <w:rsid w:val="00D024ED"/>
    <w:rsid w:val="00D04F6B"/>
    <w:rsid w:val="00D24529"/>
    <w:rsid w:val="00D323E6"/>
    <w:rsid w:val="00D3350B"/>
    <w:rsid w:val="00D3638B"/>
    <w:rsid w:val="00D36B73"/>
    <w:rsid w:val="00D37610"/>
    <w:rsid w:val="00D4632E"/>
    <w:rsid w:val="00D46F20"/>
    <w:rsid w:val="00D6515D"/>
    <w:rsid w:val="00D711DC"/>
    <w:rsid w:val="00D8450E"/>
    <w:rsid w:val="00D972D5"/>
    <w:rsid w:val="00DA4CCE"/>
    <w:rsid w:val="00DA73E7"/>
    <w:rsid w:val="00DB1313"/>
    <w:rsid w:val="00DB29DD"/>
    <w:rsid w:val="00DB3F47"/>
    <w:rsid w:val="00DD1859"/>
    <w:rsid w:val="00DE236D"/>
    <w:rsid w:val="00DE2F82"/>
    <w:rsid w:val="00DF27F8"/>
    <w:rsid w:val="00DF5178"/>
    <w:rsid w:val="00DF7B35"/>
    <w:rsid w:val="00E034E4"/>
    <w:rsid w:val="00E1714D"/>
    <w:rsid w:val="00E2636F"/>
    <w:rsid w:val="00E2728D"/>
    <w:rsid w:val="00E30BC9"/>
    <w:rsid w:val="00E54386"/>
    <w:rsid w:val="00E723B1"/>
    <w:rsid w:val="00E725F9"/>
    <w:rsid w:val="00E74A09"/>
    <w:rsid w:val="00E80321"/>
    <w:rsid w:val="00E86E42"/>
    <w:rsid w:val="00E878C4"/>
    <w:rsid w:val="00E9154E"/>
    <w:rsid w:val="00E938CF"/>
    <w:rsid w:val="00E97D21"/>
    <w:rsid w:val="00EA032E"/>
    <w:rsid w:val="00EA4E57"/>
    <w:rsid w:val="00EA5687"/>
    <w:rsid w:val="00EA6570"/>
    <w:rsid w:val="00EB4A52"/>
    <w:rsid w:val="00EC4D66"/>
    <w:rsid w:val="00EC7868"/>
    <w:rsid w:val="00ED1283"/>
    <w:rsid w:val="00EE068E"/>
    <w:rsid w:val="00EF0752"/>
    <w:rsid w:val="00EF0E5C"/>
    <w:rsid w:val="00EF1BA0"/>
    <w:rsid w:val="00F00B44"/>
    <w:rsid w:val="00F00F44"/>
    <w:rsid w:val="00F0254C"/>
    <w:rsid w:val="00F03086"/>
    <w:rsid w:val="00F07397"/>
    <w:rsid w:val="00F1088F"/>
    <w:rsid w:val="00F1283D"/>
    <w:rsid w:val="00F32790"/>
    <w:rsid w:val="00F34F36"/>
    <w:rsid w:val="00F359EA"/>
    <w:rsid w:val="00F44235"/>
    <w:rsid w:val="00F47AAF"/>
    <w:rsid w:val="00F51606"/>
    <w:rsid w:val="00F5574A"/>
    <w:rsid w:val="00F63847"/>
    <w:rsid w:val="00F668C9"/>
    <w:rsid w:val="00F66B39"/>
    <w:rsid w:val="00F746DB"/>
    <w:rsid w:val="00F776DC"/>
    <w:rsid w:val="00F77948"/>
    <w:rsid w:val="00F85FB3"/>
    <w:rsid w:val="00F91876"/>
    <w:rsid w:val="00F92C91"/>
    <w:rsid w:val="00FA1600"/>
    <w:rsid w:val="00FA1DA8"/>
    <w:rsid w:val="00FB427B"/>
    <w:rsid w:val="00FC1A5B"/>
    <w:rsid w:val="00FC3FFA"/>
    <w:rsid w:val="00FC723E"/>
    <w:rsid w:val="00FC7AB1"/>
    <w:rsid w:val="00FD0EB2"/>
    <w:rsid w:val="00FD2E87"/>
    <w:rsid w:val="00FE0FD8"/>
    <w:rsid w:val="00FE4B89"/>
    <w:rsid w:val="00FE6BFD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F3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36F3A"/>
    <w:pPr>
      <w:keepNext/>
      <w:outlineLvl w:val="0"/>
    </w:pPr>
    <w:rPr>
      <w:b/>
      <w:sz w:val="32"/>
      <w:szCs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2B4A27"/>
    <w:rPr>
      <w:rFonts w:cs="Times New Roman"/>
      <w:color w:val="0000FF"/>
      <w:u w:val="single"/>
    </w:rPr>
  </w:style>
  <w:style w:type="paragraph" w:styleId="Sidehoved">
    <w:name w:val="header"/>
    <w:basedOn w:val="Normal"/>
    <w:rsid w:val="00536F3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36F3A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536F3A"/>
    <w:rPr>
      <w:szCs w:val="20"/>
    </w:rPr>
  </w:style>
  <w:style w:type="paragraph" w:styleId="Brdtekst2">
    <w:name w:val="Body Text 2"/>
    <w:basedOn w:val="Normal"/>
    <w:rsid w:val="00536F3A"/>
    <w:rPr>
      <w:b/>
      <w:szCs w:val="20"/>
    </w:rPr>
  </w:style>
  <w:style w:type="paragraph" w:styleId="Brdtekst3">
    <w:name w:val="Body Text 3"/>
    <w:basedOn w:val="Normal"/>
    <w:rsid w:val="00536F3A"/>
    <w:rPr>
      <w:sz w:val="16"/>
      <w:szCs w:val="20"/>
    </w:rPr>
  </w:style>
  <w:style w:type="paragraph" w:styleId="Markeringsbobletekst">
    <w:name w:val="Balloon Text"/>
    <w:basedOn w:val="Normal"/>
    <w:semiHidden/>
    <w:rsid w:val="00536F3A"/>
    <w:rPr>
      <w:rFonts w:ascii="Tahoma" w:hAnsi="Tahoma" w:cs="Tahoma"/>
      <w:sz w:val="16"/>
      <w:szCs w:val="16"/>
    </w:rPr>
  </w:style>
  <w:style w:type="character" w:customStyle="1" w:styleId="BrdtekstTegn">
    <w:name w:val="Brødtekst Tegn"/>
    <w:basedOn w:val="Standardskrifttypeiafsnit"/>
    <w:rsid w:val="00536F3A"/>
    <w:rPr>
      <w:sz w:val="24"/>
      <w:lang w:val="da-DK" w:eastAsia="da-DK" w:bidi="ar-SA"/>
    </w:rPr>
  </w:style>
  <w:style w:type="character" w:styleId="Strk">
    <w:name w:val="Strong"/>
    <w:basedOn w:val="Standardskrifttypeiafsnit"/>
    <w:uiPriority w:val="22"/>
    <w:qFormat/>
    <w:rsid w:val="002B4A27"/>
    <w:rPr>
      <w:b/>
      <w:bCs/>
    </w:rPr>
  </w:style>
  <w:style w:type="paragraph" w:styleId="Kommentartekst">
    <w:name w:val="annotation text"/>
    <w:basedOn w:val="Normal"/>
    <w:link w:val="KommentartekstTegn"/>
    <w:uiPriority w:val="99"/>
    <w:unhideWhenUsed/>
    <w:rsid w:val="0031355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13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F3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36F3A"/>
    <w:pPr>
      <w:keepNext/>
      <w:outlineLvl w:val="0"/>
    </w:pPr>
    <w:rPr>
      <w:b/>
      <w:sz w:val="32"/>
      <w:szCs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2B4A27"/>
    <w:rPr>
      <w:rFonts w:cs="Times New Roman"/>
      <w:color w:val="0000FF"/>
      <w:u w:val="single"/>
    </w:rPr>
  </w:style>
  <w:style w:type="paragraph" w:styleId="Sidehoved">
    <w:name w:val="header"/>
    <w:basedOn w:val="Normal"/>
    <w:rsid w:val="00536F3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36F3A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536F3A"/>
    <w:rPr>
      <w:szCs w:val="20"/>
    </w:rPr>
  </w:style>
  <w:style w:type="paragraph" w:styleId="Brdtekst2">
    <w:name w:val="Body Text 2"/>
    <w:basedOn w:val="Normal"/>
    <w:rsid w:val="00536F3A"/>
    <w:rPr>
      <w:b/>
      <w:szCs w:val="20"/>
    </w:rPr>
  </w:style>
  <w:style w:type="paragraph" w:styleId="Brdtekst3">
    <w:name w:val="Body Text 3"/>
    <w:basedOn w:val="Normal"/>
    <w:rsid w:val="00536F3A"/>
    <w:rPr>
      <w:sz w:val="16"/>
      <w:szCs w:val="20"/>
    </w:rPr>
  </w:style>
  <w:style w:type="paragraph" w:styleId="Markeringsbobletekst">
    <w:name w:val="Balloon Text"/>
    <w:basedOn w:val="Normal"/>
    <w:semiHidden/>
    <w:rsid w:val="00536F3A"/>
    <w:rPr>
      <w:rFonts w:ascii="Tahoma" w:hAnsi="Tahoma" w:cs="Tahoma"/>
      <w:sz w:val="16"/>
      <w:szCs w:val="16"/>
    </w:rPr>
  </w:style>
  <w:style w:type="character" w:customStyle="1" w:styleId="BrdtekstTegn">
    <w:name w:val="Brødtekst Tegn"/>
    <w:basedOn w:val="Standardskrifttypeiafsnit"/>
    <w:rsid w:val="00536F3A"/>
    <w:rPr>
      <w:sz w:val="24"/>
      <w:lang w:val="da-DK" w:eastAsia="da-DK" w:bidi="ar-SA"/>
    </w:rPr>
  </w:style>
  <w:style w:type="character" w:styleId="Strk">
    <w:name w:val="Strong"/>
    <w:basedOn w:val="Standardskrifttypeiafsnit"/>
    <w:uiPriority w:val="22"/>
    <w:qFormat/>
    <w:rsid w:val="002B4A27"/>
    <w:rPr>
      <w:b/>
      <w:bCs/>
    </w:rPr>
  </w:style>
  <w:style w:type="paragraph" w:styleId="Kommentartekst">
    <w:name w:val="annotation text"/>
    <w:basedOn w:val="Normal"/>
    <w:link w:val="KommentartekstTegn"/>
    <w:uiPriority w:val="99"/>
    <w:unhideWhenUsed/>
    <w:rsid w:val="0031355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1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reditsikring.dk/experianlogo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k.experian.local\denmark-fs\DFSSHARE\Grupper\analyse\Konkursanalyse\Konkursstat%20Layout%20(version%201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k.experian.local\denmark-fs\DFSSHARE\Grupper\analyse\Konkursanalyse\Konkursstat%20Layout%20(version%20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34973476416714"/>
          <c:y val="9.5032036436621906E-2"/>
          <c:w val="0.89589974361363833"/>
          <c:h val="0.48192960094126874"/>
        </c:manualLayout>
      </c:layout>
      <c:barChart>
        <c:barDir val="col"/>
        <c:grouping val="clustered"/>
        <c:varyColors val="0"/>
        <c:ser>
          <c:idx val="7"/>
          <c:order val="0"/>
          <c:tx>
            <c:strRef>
              <c:f>Nyetableringer!$N$2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333333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Nyetableringer!$A$3:$A$14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Nyetableringer!$N$3:$N$14</c:f>
              <c:numCache>
                <c:formatCode>General</c:formatCode>
                <c:ptCount val="12"/>
                <c:pt idx="0">
                  <c:v>2950</c:v>
                </c:pt>
                <c:pt idx="1">
                  <c:v>2406</c:v>
                </c:pt>
                <c:pt idx="2">
                  <c:v>1880</c:v>
                </c:pt>
                <c:pt idx="3">
                  <c:v>2481</c:v>
                </c:pt>
                <c:pt idx="4">
                  <c:v>2191</c:v>
                </c:pt>
                <c:pt idx="5">
                  <c:v>2995</c:v>
                </c:pt>
                <c:pt idx="6">
                  <c:v>2550</c:v>
                </c:pt>
                <c:pt idx="7">
                  <c:v>1896</c:v>
                </c:pt>
                <c:pt idx="8">
                  <c:v>2178</c:v>
                </c:pt>
                <c:pt idx="9">
                  <c:v>1963</c:v>
                </c:pt>
                <c:pt idx="10">
                  <c:v>1715</c:v>
                </c:pt>
                <c:pt idx="11">
                  <c:v>2098</c:v>
                </c:pt>
              </c:numCache>
            </c:numRef>
          </c:val>
        </c:ser>
        <c:ser>
          <c:idx val="0"/>
          <c:order val="1"/>
          <c:tx>
            <c:strRef>
              <c:f>Nyetableringer!$O$2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96969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Nyetableringer!$A$3:$A$14</c:f>
              <c:strCache>
                <c:ptCount val="12"/>
                <c:pt idx="0">
                  <c:v>Jan 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Okt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Nyetableringer!$O$3:$O$14</c:f>
              <c:numCache>
                <c:formatCode>General</c:formatCode>
                <c:ptCount val="12"/>
                <c:pt idx="0">
                  <c:v>1707</c:v>
                </c:pt>
                <c:pt idx="1">
                  <c:v>1665</c:v>
                </c:pt>
                <c:pt idx="2">
                  <c:v>1591</c:v>
                </c:pt>
                <c:pt idx="3">
                  <c:v>1516</c:v>
                </c:pt>
                <c:pt idx="4">
                  <c:v>1352</c:v>
                </c:pt>
                <c:pt idx="5">
                  <c:v>1949</c:v>
                </c:pt>
                <c:pt idx="6">
                  <c:v>1568</c:v>
                </c:pt>
                <c:pt idx="7">
                  <c:v>1199</c:v>
                </c:pt>
                <c:pt idx="8">
                  <c:v>1535</c:v>
                </c:pt>
                <c:pt idx="9">
                  <c:v>1330</c:v>
                </c:pt>
                <c:pt idx="10">
                  <c:v>1290</c:v>
                </c:pt>
                <c:pt idx="11">
                  <c:v>1539</c:v>
                </c:pt>
              </c:numCache>
            </c:numRef>
          </c:val>
        </c:ser>
        <c:ser>
          <c:idx val="1"/>
          <c:order val="2"/>
          <c:tx>
            <c:v>2010</c:v>
          </c:tx>
          <c:spPr>
            <a:solidFill>
              <a:schemeClr val="tx1">
                <a:lumMod val="65000"/>
                <a:lumOff val="35000"/>
              </a:schemeClr>
            </a:solidFill>
          </c:spPr>
          <c:invertIfNegative val="0"/>
          <c:val>
            <c:numRef>
              <c:f>Nyetableringer!$P$3:$P$14</c:f>
              <c:numCache>
                <c:formatCode>General</c:formatCode>
                <c:ptCount val="12"/>
                <c:pt idx="0">
                  <c:v>1410</c:v>
                </c:pt>
                <c:pt idx="1">
                  <c:v>1203</c:v>
                </c:pt>
                <c:pt idx="2">
                  <c:v>1903</c:v>
                </c:pt>
                <c:pt idx="3">
                  <c:v>1488</c:v>
                </c:pt>
                <c:pt idx="4">
                  <c:v>1504</c:v>
                </c:pt>
                <c:pt idx="5">
                  <c:v>2166</c:v>
                </c:pt>
                <c:pt idx="6">
                  <c:v>1676</c:v>
                </c:pt>
                <c:pt idx="7">
                  <c:v>1330</c:v>
                </c:pt>
                <c:pt idx="8">
                  <c:v>1666</c:v>
                </c:pt>
                <c:pt idx="9">
                  <c:v>1486</c:v>
                </c:pt>
                <c:pt idx="10">
                  <c:v>1536</c:v>
                </c:pt>
                <c:pt idx="11">
                  <c:v>1748</c:v>
                </c:pt>
              </c:numCache>
            </c:numRef>
          </c:val>
        </c:ser>
        <c:ser>
          <c:idx val="3"/>
          <c:order val="3"/>
          <c:tx>
            <c:strRef>
              <c:f>Nyetableringer!$Q$2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val>
            <c:numRef>
              <c:f>Nyetableringer!$Q$3:$Q$14</c:f>
              <c:numCache>
                <c:formatCode>General</c:formatCode>
                <c:ptCount val="12"/>
                <c:pt idx="0">
                  <c:v>1814</c:v>
                </c:pt>
                <c:pt idx="1">
                  <c:v>1460</c:v>
                </c:pt>
                <c:pt idx="2">
                  <c:v>1930</c:v>
                </c:pt>
                <c:pt idx="3">
                  <c:v>1308</c:v>
                </c:pt>
                <c:pt idx="4">
                  <c:v>1589</c:v>
                </c:pt>
                <c:pt idx="5">
                  <c:v>1880</c:v>
                </c:pt>
                <c:pt idx="6">
                  <c:v>1494</c:v>
                </c:pt>
                <c:pt idx="7">
                  <c:v>1304</c:v>
                </c:pt>
                <c:pt idx="8">
                  <c:v>1516</c:v>
                </c:pt>
                <c:pt idx="9">
                  <c:v>1469</c:v>
                </c:pt>
                <c:pt idx="10">
                  <c:v>1447</c:v>
                </c:pt>
                <c:pt idx="11">
                  <c:v>1816</c:v>
                </c:pt>
              </c:numCache>
            </c:numRef>
          </c:val>
        </c:ser>
        <c:ser>
          <c:idx val="4"/>
          <c:order val="4"/>
          <c:tx>
            <c:v>2012</c:v>
          </c:tx>
          <c:spPr>
            <a:solidFill>
              <a:schemeClr val="accent4">
                <a:lumMod val="75000"/>
              </a:schemeClr>
            </a:solidFill>
          </c:spPr>
          <c:invertIfNegative val="0"/>
          <c:val>
            <c:numRef>
              <c:f>Nyetableringer!$R$3:$R$14</c:f>
              <c:numCache>
                <c:formatCode>General</c:formatCode>
                <c:ptCount val="12"/>
                <c:pt idx="0">
                  <c:v>1617</c:v>
                </c:pt>
                <c:pt idx="1">
                  <c:v>1420</c:v>
                </c:pt>
                <c:pt idx="2">
                  <c:v>1673</c:v>
                </c:pt>
                <c:pt idx="3">
                  <c:v>1167</c:v>
                </c:pt>
                <c:pt idx="4">
                  <c:v>1436</c:v>
                </c:pt>
                <c:pt idx="5">
                  <c:v>1783</c:v>
                </c:pt>
                <c:pt idx="6">
                  <c:v>1430</c:v>
                </c:pt>
                <c:pt idx="7">
                  <c:v>1189</c:v>
                </c:pt>
                <c:pt idx="8">
                  <c:v>1431</c:v>
                </c:pt>
                <c:pt idx="9">
                  <c:v>1439</c:v>
                </c:pt>
                <c:pt idx="10">
                  <c:v>1501</c:v>
                </c:pt>
                <c:pt idx="11">
                  <c:v>1634</c:v>
                </c:pt>
              </c:numCache>
            </c:numRef>
          </c:val>
        </c:ser>
        <c:ser>
          <c:idx val="5"/>
          <c:order val="5"/>
          <c:tx>
            <c:strRef>
              <c:f>Nyetableringer!$S$2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val>
            <c:numRef>
              <c:f>Nyetableringer!$S$3:$S$14</c:f>
              <c:numCache>
                <c:formatCode>General</c:formatCode>
                <c:ptCount val="12"/>
                <c:pt idx="0">
                  <c:v>1684</c:v>
                </c:pt>
                <c:pt idx="1">
                  <c:v>1298</c:v>
                </c:pt>
                <c:pt idx="2">
                  <c:v>1413</c:v>
                </c:pt>
                <c:pt idx="3">
                  <c:v>1457</c:v>
                </c:pt>
                <c:pt idx="4">
                  <c:v>1584</c:v>
                </c:pt>
                <c:pt idx="5">
                  <c:v>1815</c:v>
                </c:pt>
                <c:pt idx="6">
                  <c:v>1568</c:v>
                </c:pt>
                <c:pt idx="7">
                  <c:v>1182</c:v>
                </c:pt>
                <c:pt idx="8">
                  <c:v>1541</c:v>
                </c:pt>
                <c:pt idx="9">
                  <c:v>1467</c:v>
                </c:pt>
                <c:pt idx="10">
                  <c:v>1279</c:v>
                </c:pt>
                <c:pt idx="11">
                  <c:v>1359</c:v>
                </c:pt>
              </c:numCache>
            </c:numRef>
          </c:val>
        </c:ser>
        <c:ser>
          <c:idx val="2"/>
          <c:order val="6"/>
          <c:tx>
            <c:strRef>
              <c:f>Nyetableringer!$T$2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bg2"/>
            </a:solidFill>
          </c:spPr>
          <c:invertIfNegative val="0"/>
          <c:val>
            <c:numRef>
              <c:f>Nyetableringer!$T$3:$T$14</c:f>
              <c:numCache>
                <c:formatCode>General</c:formatCode>
                <c:ptCount val="12"/>
                <c:pt idx="0">
                  <c:v>2252</c:v>
                </c:pt>
                <c:pt idx="1">
                  <c:v>2028</c:v>
                </c:pt>
                <c:pt idx="2">
                  <c:v>2188</c:v>
                </c:pt>
                <c:pt idx="3">
                  <c:v>2074</c:v>
                </c:pt>
                <c:pt idx="4">
                  <c:v>2134</c:v>
                </c:pt>
                <c:pt idx="5">
                  <c:v>2326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937856"/>
        <c:axId val="118968320"/>
      </c:barChart>
      <c:catAx>
        <c:axId val="118937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da-DK"/>
          </a:p>
        </c:txPr>
        <c:crossAx val="118968320"/>
        <c:crosses val="autoZero"/>
        <c:auto val="1"/>
        <c:lblAlgn val="ctr"/>
        <c:lblOffset val="100"/>
        <c:tickMarkSkip val="1"/>
        <c:noMultiLvlLbl val="0"/>
      </c:catAx>
      <c:valAx>
        <c:axId val="1189683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da-DK"/>
          </a:p>
        </c:txPr>
        <c:crossAx val="1189378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da-DK"/>
          </a:p>
        </c:txPr>
      </c:dTable>
      <c:spPr>
        <a:solidFill>
          <a:srgbClr val="0095DA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6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da-D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da-DK"/>
              <a:t>Udviklingen i nyetableringer af selskaber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>
        <c:manualLayout>
          <c:layoutTarget val="inner"/>
          <c:xMode val="edge"/>
          <c:yMode val="edge"/>
          <c:x val="0.13014703099416647"/>
          <c:y val="0.19050391196361788"/>
          <c:w val="0.85523527427410129"/>
          <c:h val="0.59143927535183072"/>
        </c:manualLayout>
      </c:layout>
      <c:bar3DChart>
        <c:barDir val="col"/>
        <c:grouping val="clustered"/>
        <c:varyColors val="0"/>
        <c:ser>
          <c:idx val="0"/>
          <c:order val="0"/>
          <c:tx>
            <c:v>Nye selskaber</c:v>
          </c:tx>
          <c:invertIfNegative val="0"/>
          <c:cat>
            <c:strRef>
              <c:f>'Nyetableringer Layout'!$L$88:$L$96</c:f>
              <c:strCache>
                <c:ptCount val="9"/>
                <c:pt idx="0">
                  <c:v>1. halvår 2006</c:v>
                </c:pt>
                <c:pt idx="1">
                  <c:v>1. halvår 2007</c:v>
                </c:pt>
                <c:pt idx="2">
                  <c:v>1. halvår 2008</c:v>
                </c:pt>
                <c:pt idx="3">
                  <c:v>1. halvår 2009</c:v>
                </c:pt>
                <c:pt idx="4">
                  <c:v>1. halvår 2010</c:v>
                </c:pt>
                <c:pt idx="5">
                  <c:v>1. halvår 2011</c:v>
                </c:pt>
                <c:pt idx="6">
                  <c:v>1. halvår 2012</c:v>
                </c:pt>
                <c:pt idx="7">
                  <c:v>1. halvår 2013</c:v>
                </c:pt>
                <c:pt idx="8">
                  <c:v>1. halvår 2014</c:v>
                </c:pt>
              </c:strCache>
            </c:strRef>
          </c:cat>
          <c:val>
            <c:numRef>
              <c:f>'Nyetableringer Layout'!$M$88:$M$96</c:f>
              <c:numCache>
                <c:formatCode>_(* #,##0_);_(* \(#,##0\);_(* "-"??_);_(@_)</c:formatCode>
                <c:ptCount val="9"/>
                <c:pt idx="0">
                  <c:v>15357</c:v>
                </c:pt>
                <c:pt idx="1">
                  <c:v>16907</c:v>
                </c:pt>
                <c:pt idx="2">
                  <c:v>16911</c:v>
                </c:pt>
                <c:pt idx="3">
                  <c:v>11789</c:v>
                </c:pt>
                <c:pt idx="4">
                  <c:v>11684</c:v>
                </c:pt>
                <c:pt idx="5">
                  <c:v>11992</c:v>
                </c:pt>
                <c:pt idx="6">
                  <c:v>11108</c:v>
                </c:pt>
                <c:pt idx="7">
                  <c:v>11264</c:v>
                </c:pt>
                <c:pt idx="8">
                  <c:v>13002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8985856"/>
        <c:axId val="118987392"/>
        <c:axId val="0"/>
      </c:bar3DChart>
      <c:catAx>
        <c:axId val="11898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a-DK"/>
          </a:p>
        </c:txPr>
        <c:crossAx val="118987392"/>
        <c:crosses val="autoZero"/>
        <c:auto val="1"/>
        <c:lblAlgn val="ctr"/>
        <c:lblOffset val="100"/>
        <c:noMultiLvlLbl val="0"/>
      </c:catAx>
      <c:valAx>
        <c:axId val="118987392"/>
        <c:scaling>
          <c:orientation val="minMax"/>
        </c:scaling>
        <c:delete val="0"/>
        <c:axPos val="l"/>
        <c:majorGridlines>
          <c:spPr>
            <a:effectLst>
              <a:outerShdw blurRad="50800" dist="50800" dir="5400000" algn="ctr" rotWithShape="0">
                <a:schemeClr val="bg1">
                  <a:lumMod val="85000"/>
                </a:schemeClr>
              </a:outerShdw>
            </a:effectLst>
          </c:spPr>
        </c:majorGridlines>
        <c:numFmt formatCode="#,##0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a-DK"/>
          </a:p>
        </c:txPr>
        <c:crossAx val="1189858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a-DK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>
        <a:lumMod val="85000"/>
      </a:schemeClr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da-D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881</Words>
  <Characters>4687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September 2005</vt:lpstr>
    </vt:vector>
  </TitlesOfParts>
  <Company>KOB A/S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2005</dc:title>
  <dc:creator>Thomas Horn</dc:creator>
  <cp:lastModifiedBy>Andersen, Mette</cp:lastModifiedBy>
  <cp:revision>2</cp:revision>
  <cp:lastPrinted>2013-03-15T13:29:00Z</cp:lastPrinted>
  <dcterms:created xsi:type="dcterms:W3CDTF">2014-07-03T08:51:00Z</dcterms:created>
  <dcterms:modified xsi:type="dcterms:W3CDTF">2014-07-03T08:51:00Z</dcterms:modified>
</cp:coreProperties>
</file>