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31" w:rsidRDefault="00204831" w:rsidP="00305A09">
      <w:pPr>
        <w:rPr>
          <w:rFonts w:ascii="Arial" w:hAnsi="Arial"/>
          <w:b/>
          <w:spacing w:val="6"/>
        </w:rPr>
      </w:pPr>
      <w:bookmarkStart w:id="0" w:name="_GoBack"/>
      <w:bookmarkEnd w:id="0"/>
    </w:p>
    <w:p w:rsidR="00204831" w:rsidRDefault="00204831" w:rsidP="00204831">
      <w:pPr>
        <w:pStyle w:val="Overskrift1"/>
        <w:ind w:left="1304"/>
        <w:jc w:val="right"/>
        <w:rPr>
          <w:rFonts w:ascii="Arial" w:hAnsi="Arial"/>
          <w:spacing w:val="6"/>
          <w:sz w:val="28"/>
          <w:u w:val="none"/>
        </w:rPr>
      </w:pPr>
      <w:r>
        <w:rPr>
          <w:rFonts w:ascii="Arial" w:hAnsi="Arial"/>
          <w:noProof/>
          <w:spacing w:val="6"/>
          <w:sz w:val="18"/>
          <w:u w:val="none"/>
        </w:rPr>
        <w:t>Februar</w:t>
      </w:r>
      <w:r>
        <w:rPr>
          <w:rFonts w:ascii="Arial" w:hAnsi="Arial"/>
          <w:spacing w:val="6"/>
          <w:sz w:val="18"/>
          <w:u w:val="none"/>
        </w:rPr>
        <w:t xml:space="preserve"> 2015</w:t>
      </w:r>
    </w:p>
    <w:p w:rsidR="00204831" w:rsidRPr="00C0257F" w:rsidRDefault="00204831" w:rsidP="00204831">
      <w:pPr>
        <w:pStyle w:val="Overskrift1"/>
        <w:rPr>
          <w:rFonts w:ascii="Arial" w:hAnsi="Arial" w:cs="Arial"/>
          <w:sz w:val="24"/>
          <w:szCs w:val="24"/>
          <w:u w:val="none"/>
        </w:rPr>
      </w:pPr>
      <w:r w:rsidRPr="00C0257F">
        <w:rPr>
          <w:rFonts w:ascii="Arial" w:hAnsi="Arial" w:cs="Arial"/>
          <w:sz w:val="24"/>
          <w:szCs w:val="24"/>
          <w:u w:val="none"/>
        </w:rPr>
        <w:t>Kommentarer til regionale konkurser</w:t>
      </w:r>
    </w:p>
    <w:p w:rsidR="00204831" w:rsidRDefault="00204831" w:rsidP="00204831">
      <w:pPr>
        <w:pStyle w:val="Brdtekst"/>
        <w:rPr>
          <w:rFonts w:ascii="Arial" w:hAnsi="Arial"/>
          <w:color w:val="000000" w:themeColor="text1"/>
          <w:sz w:val="20"/>
        </w:rPr>
      </w:pPr>
      <w:r w:rsidRPr="00C0257F">
        <w:rPr>
          <w:rFonts w:ascii="Arial" w:hAnsi="Arial"/>
          <w:sz w:val="20"/>
        </w:rPr>
        <w:t xml:space="preserve">Der har i </w:t>
      </w:r>
      <w:r>
        <w:rPr>
          <w:rFonts w:ascii="Arial" w:hAnsi="Arial"/>
          <w:sz w:val="20"/>
        </w:rPr>
        <w:t>februar</w:t>
      </w:r>
      <w:r w:rsidRPr="00C0257F">
        <w:rPr>
          <w:rFonts w:ascii="Arial" w:hAnsi="Arial"/>
          <w:sz w:val="20"/>
        </w:rPr>
        <w:t xml:space="preserve"> 201</w:t>
      </w:r>
      <w:r>
        <w:rPr>
          <w:rFonts w:ascii="Arial" w:hAnsi="Arial"/>
          <w:sz w:val="20"/>
        </w:rPr>
        <w:t>5</w:t>
      </w:r>
      <w:r w:rsidRPr="00C0257F">
        <w:rPr>
          <w:rFonts w:ascii="Arial" w:hAnsi="Arial"/>
          <w:sz w:val="20"/>
        </w:rPr>
        <w:t xml:space="preserve"> været </w:t>
      </w:r>
      <w:r>
        <w:rPr>
          <w:rFonts w:ascii="Arial" w:hAnsi="Arial"/>
          <w:sz w:val="20"/>
        </w:rPr>
        <w:t>300</w:t>
      </w:r>
      <w:r w:rsidRPr="00FD4DC4">
        <w:rPr>
          <w:rFonts w:ascii="Arial" w:hAnsi="Arial"/>
          <w:color w:val="000000" w:themeColor="text1"/>
          <w:sz w:val="20"/>
        </w:rPr>
        <w:t xml:space="preserve"> konkurser</w:t>
      </w:r>
      <w:r>
        <w:rPr>
          <w:rFonts w:ascii="Arial" w:hAnsi="Arial"/>
          <w:color w:val="000000" w:themeColor="text1"/>
          <w:sz w:val="20"/>
        </w:rPr>
        <w:t>, hvilket er en stigning på 20,5</w:t>
      </w:r>
      <w:r w:rsidRPr="00FD4DC4">
        <w:rPr>
          <w:rFonts w:ascii="Arial" w:hAnsi="Arial"/>
          <w:color w:val="000000" w:themeColor="text1"/>
          <w:sz w:val="20"/>
        </w:rPr>
        <w:t>%</w:t>
      </w:r>
      <w:r>
        <w:rPr>
          <w:rFonts w:ascii="Arial" w:hAnsi="Arial"/>
          <w:color w:val="000000" w:themeColor="text1"/>
          <w:sz w:val="20"/>
        </w:rPr>
        <w:t xml:space="preserve"> s</w:t>
      </w:r>
      <w:r w:rsidRPr="00FD4DC4">
        <w:rPr>
          <w:rFonts w:ascii="Arial" w:hAnsi="Arial"/>
          <w:color w:val="000000" w:themeColor="text1"/>
          <w:sz w:val="20"/>
        </w:rPr>
        <w:t xml:space="preserve">ammenlignet med </w:t>
      </w:r>
      <w:r>
        <w:rPr>
          <w:rFonts w:ascii="Arial" w:hAnsi="Arial"/>
          <w:color w:val="000000" w:themeColor="text1"/>
          <w:sz w:val="20"/>
        </w:rPr>
        <w:t>februar</w:t>
      </w:r>
      <w:r w:rsidRPr="00FD4DC4">
        <w:rPr>
          <w:rFonts w:ascii="Arial" w:hAnsi="Arial"/>
          <w:color w:val="000000" w:themeColor="text1"/>
          <w:sz w:val="20"/>
        </w:rPr>
        <w:t xml:space="preserve"> 201</w:t>
      </w:r>
      <w:r>
        <w:rPr>
          <w:rFonts w:ascii="Arial" w:hAnsi="Arial"/>
          <w:color w:val="000000" w:themeColor="text1"/>
          <w:sz w:val="20"/>
        </w:rPr>
        <w:t>4</w:t>
      </w:r>
      <w:r w:rsidRPr="00FD4DC4">
        <w:rPr>
          <w:rFonts w:ascii="Arial" w:hAnsi="Arial"/>
          <w:color w:val="000000" w:themeColor="text1"/>
          <w:sz w:val="20"/>
        </w:rPr>
        <w:t xml:space="preserve">, </w:t>
      </w:r>
      <w:r>
        <w:rPr>
          <w:rFonts w:ascii="Arial" w:hAnsi="Arial"/>
          <w:color w:val="000000" w:themeColor="text1"/>
          <w:sz w:val="20"/>
        </w:rPr>
        <w:t xml:space="preserve">hvor der var 249 konkurser. Det er første gang siden januar 2014 at antallet af konkurser stiger i forhold til samme måned et år tidligere. Midt- og Vestjylland og Sydjylland er de områder, som har haft den største relative stigning i antal konkurser, sammenlignet med februar 2014. Der var kun 2 områder som havde fald. Det var Bornholm, som slet ikke havde nogen konkurser, og Færøerne. </w:t>
      </w:r>
    </w:p>
    <w:p w:rsidR="00204831" w:rsidRDefault="00204831" w:rsidP="00204831">
      <w:pPr>
        <w:pStyle w:val="Brdtekst"/>
        <w:rPr>
          <w:rFonts w:ascii="Arial" w:hAnsi="Arial"/>
          <w:sz w:val="20"/>
        </w:rPr>
      </w:pPr>
      <w:r w:rsidRPr="00C0257F">
        <w:rPr>
          <w:rFonts w:ascii="Arial" w:hAnsi="Arial"/>
          <w:sz w:val="20"/>
        </w:rPr>
        <w:t xml:space="preserve">Hvis man ser på </w:t>
      </w:r>
      <w:r>
        <w:rPr>
          <w:rFonts w:ascii="Arial" w:hAnsi="Arial"/>
          <w:sz w:val="20"/>
        </w:rPr>
        <w:t xml:space="preserve">de seneste 12 måneder </w:t>
      </w:r>
      <w:r w:rsidRPr="00C0257F">
        <w:rPr>
          <w:rFonts w:ascii="Arial" w:hAnsi="Arial"/>
          <w:sz w:val="20"/>
        </w:rPr>
        <w:t xml:space="preserve">har der været </w:t>
      </w:r>
      <w:r>
        <w:rPr>
          <w:rFonts w:ascii="Arial" w:hAnsi="Arial"/>
          <w:sz w:val="20"/>
        </w:rPr>
        <w:t>et fald på 16,0</w:t>
      </w:r>
      <w:r w:rsidRPr="00FD4DC4">
        <w:rPr>
          <w:rFonts w:ascii="Arial" w:hAnsi="Arial"/>
          <w:color w:val="000000" w:themeColor="text1"/>
          <w:sz w:val="20"/>
        </w:rPr>
        <w:t xml:space="preserve">% </w:t>
      </w:r>
      <w:r w:rsidRPr="00C0257F">
        <w:rPr>
          <w:rFonts w:ascii="Arial" w:hAnsi="Arial"/>
          <w:sz w:val="20"/>
        </w:rPr>
        <w:t xml:space="preserve">sammenlignet med </w:t>
      </w:r>
      <w:r>
        <w:rPr>
          <w:rFonts w:ascii="Arial" w:hAnsi="Arial"/>
          <w:sz w:val="20"/>
        </w:rPr>
        <w:t>samme periode et år tidligere</w:t>
      </w:r>
      <w:r w:rsidRPr="00C0257F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Grønland, Nordjylland, Færøerne og Midt- og Vestjylland, er de områder, der har haft en stigning i antallet af konkurser, mens alle andre områder har haft et fald i antal konkurser. Bornholm og Sjælland h</w:t>
      </w:r>
      <w:r w:rsidRPr="00C0257F">
        <w:rPr>
          <w:rFonts w:ascii="Arial" w:hAnsi="Arial"/>
          <w:sz w:val="20"/>
        </w:rPr>
        <w:t xml:space="preserve">ar over de seneste </w:t>
      </w:r>
      <w:r>
        <w:rPr>
          <w:rFonts w:ascii="Arial" w:hAnsi="Arial"/>
          <w:sz w:val="20"/>
        </w:rPr>
        <w:t>12</w:t>
      </w:r>
      <w:r w:rsidRPr="00C0257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måneder </w:t>
      </w:r>
      <w:r w:rsidRPr="00C0257F">
        <w:rPr>
          <w:rFonts w:ascii="Arial" w:hAnsi="Arial"/>
          <w:sz w:val="20"/>
        </w:rPr>
        <w:t xml:space="preserve">haft de største relative fald i antallet af konkurser. </w:t>
      </w:r>
    </w:p>
    <w:tbl>
      <w:tblPr>
        <w:tblW w:w="94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336"/>
        <w:gridCol w:w="1176"/>
        <w:gridCol w:w="1176"/>
        <w:gridCol w:w="1136"/>
        <w:gridCol w:w="296"/>
        <w:gridCol w:w="1016"/>
        <w:gridCol w:w="1016"/>
        <w:gridCol w:w="1136"/>
      </w:tblGrid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</w:tr>
      <w:tr w:rsidR="00204831" w:rsidTr="00204831">
        <w:trPr>
          <w:trHeight w:val="27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Område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13/14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14/15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Grønland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Nordjylland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20,4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Færøerne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Midt- og Vestjylland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Østjylland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-1,6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Lolland - Falster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-15,2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-16,2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Hovedstaden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-22,4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Sydjylland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-25,5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Sjælland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-29,3</w:t>
            </w:r>
          </w:p>
        </w:tc>
      </w:tr>
      <w:tr w:rsid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Bornholm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-44,4</w:t>
            </w:r>
          </w:p>
        </w:tc>
      </w:tr>
      <w:tr w:rsidR="00204831" w:rsidRPr="00204831" w:rsidTr="00204831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Pr="00204831" w:rsidRDefault="00204831" w:rsidP="00204831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0483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 alt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Pr="00204831" w:rsidRDefault="00204831" w:rsidP="0020483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Pr="00204831" w:rsidRDefault="00204831" w:rsidP="0020483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0483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Pr="00204831" w:rsidRDefault="00204831" w:rsidP="0020483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0483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Pr="00204831" w:rsidRDefault="00204831" w:rsidP="0020483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0483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20,5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Pr="00204831" w:rsidRDefault="00204831" w:rsidP="0020483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Pr="00204831" w:rsidRDefault="00204831" w:rsidP="0020483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0483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4972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Pr="00204831" w:rsidRDefault="00204831" w:rsidP="0020483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0483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Pr="00204831" w:rsidRDefault="00204831" w:rsidP="0020483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0483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-16,0</w:t>
            </w:r>
          </w:p>
        </w:tc>
      </w:tr>
    </w:tbl>
    <w:p w:rsidR="00204831" w:rsidRPr="00204831" w:rsidRDefault="00204831" w:rsidP="00204831">
      <w:pPr>
        <w:rPr>
          <w:rFonts w:ascii="Arial" w:hAnsi="Arial" w:cs="Arial"/>
          <w:i/>
          <w:spacing w:val="6"/>
          <w:sz w:val="18"/>
        </w:rPr>
      </w:pPr>
      <w:r w:rsidRPr="00204831">
        <w:rPr>
          <w:rFonts w:ascii="Arial" w:hAnsi="Arial"/>
          <w:i/>
          <w:sz w:val="16"/>
          <w:szCs w:val="16"/>
        </w:rPr>
        <w:t xml:space="preserve"> Kilde: Statstidende                        ¤Tilnærmet størrelse</w:t>
      </w:r>
    </w:p>
    <w:p w:rsidR="00204831" w:rsidRDefault="00204831" w:rsidP="00204831">
      <w:pPr>
        <w:pStyle w:val="Brdtekst"/>
        <w:rPr>
          <w:rFonts w:ascii="Arial" w:hAnsi="Arial"/>
          <w:sz w:val="16"/>
          <w:szCs w:val="16"/>
        </w:rPr>
      </w:pPr>
    </w:p>
    <w:p w:rsidR="00204831" w:rsidRPr="00C0257F" w:rsidRDefault="00204831" w:rsidP="00204831">
      <w:pPr>
        <w:pStyle w:val="Overskrift1"/>
        <w:rPr>
          <w:rFonts w:ascii="Arial" w:hAnsi="Arial" w:cs="Arial"/>
          <w:sz w:val="24"/>
          <w:szCs w:val="24"/>
          <w:u w:val="none"/>
        </w:rPr>
      </w:pPr>
      <w:r w:rsidRPr="00C0257F">
        <w:rPr>
          <w:rFonts w:ascii="Arial" w:hAnsi="Arial" w:cs="Arial"/>
          <w:sz w:val="24"/>
          <w:szCs w:val="24"/>
          <w:u w:val="none"/>
        </w:rPr>
        <w:t xml:space="preserve">Kommentarer til </w:t>
      </w:r>
      <w:r>
        <w:rPr>
          <w:rFonts w:ascii="Arial" w:hAnsi="Arial" w:cs="Arial"/>
          <w:sz w:val="24"/>
          <w:szCs w:val="24"/>
          <w:u w:val="none"/>
        </w:rPr>
        <w:t xml:space="preserve">regionale </w:t>
      </w:r>
      <w:r w:rsidRPr="00C0257F">
        <w:rPr>
          <w:rFonts w:ascii="Arial" w:hAnsi="Arial" w:cs="Arial"/>
          <w:sz w:val="24"/>
          <w:szCs w:val="24"/>
          <w:u w:val="none"/>
        </w:rPr>
        <w:t>konkurser</w:t>
      </w:r>
      <w:r>
        <w:rPr>
          <w:rFonts w:ascii="Arial" w:hAnsi="Arial" w:cs="Arial"/>
          <w:sz w:val="24"/>
          <w:szCs w:val="24"/>
          <w:u w:val="none"/>
        </w:rPr>
        <w:t xml:space="preserve"> – relative størrelser</w:t>
      </w:r>
    </w:p>
    <w:p w:rsidR="00204831" w:rsidRDefault="00204831" w:rsidP="00204831">
      <w:pPr>
        <w:pStyle w:val="Brdtek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Hvis man ser på, hvor stor en andel af virksomhederne i de respektive områder der gik konkurs i februar 2015, fremgår det, at for hver 1000 aktive virksomheder, gik 0,44 virksomhed konkurs. Det er Nordjylland som er det område, hvor andelen af konkurser er størst i forhold antal aktive virksomheder i området. Her gik 0,51 virksomhed konkurs for hver 1000 aktive virksomheder. Udover Grønland og Bornholm, som slet ikke havde nogen konkurser i februar, er det Færøerne og Sydjylland, som har de laveste andele i februar 2015. </w:t>
      </w:r>
    </w:p>
    <w:p w:rsidR="00204831" w:rsidRDefault="00204831" w:rsidP="00204831">
      <w:pPr>
        <w:pStyle w:val="Brdtek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Hvis man ser på de seneste 12 måneder, er det Færøerne, Grønland og Hovedstaden, der viser de største andele. 7,97 virksomheder gik konkurs for hver 1000 aktive virksomheder i Hovedstaden over en 12 måneders periode. Her er det Bornholm, der viser den laveste andel med en andel på kun 2,26. Mht. Grønland og Færøerne, skal det siges, at </w:t>
      </w:r>
      <w:proofErr w:type="spellStart"/>
      <w:r>
        <w:rPr>
          <w:rFonts w:ascii="Arial" w:hAnsi="Arial"/>
          <w:sz w:val="20"/>
        </w:rPr>
        <w:t>Experian</w:t>
      </w:r>
      <w:proofErr w:type="spellEnd"/>
      <w:r>
        <w:rPr>
          <w:rFonts w:ascii="Arial" w:hAnsi="Arial"/>
          <w:sz w:val="20"/>
        </w:rPr>
        <w:t xml:space="preserve"> hér kun opererer med selskaber. Det må antages at andelen ville være lavere, hvis man også havde øvrige virksomhedsformer med for disse områder. </w:t>
      </w:r>
    </w:p>
    <w:p w:rsidR="00204831" w:rsidRDefault="00204831" w:rsidP="00204831">
      <w:pPr>
        <w:pStyle w:val="Overskrift1"/>
        <w:rPr>
          <w:rFonts w:ascii="Arial" w:hAnsi="Arial" w:cs="Arial"/>
          <w:sz w:val="24"/>
          <w:szCs w:val="24"/>
          <w:u w:val="none"/>
        </w:rPr>
      </w:pPr>
    </w:p>
    <w:p w:rsidR="00204831" w:rsidRDefault="00204831" w:rsidP="00204831">
      <w:pPr>
        <w:rPr>
          <w:rFonts w:ascii="Arial" w:hAnsi="Arial" w:cs="Arial"/>
          <w:b/>
          <w:sz w:val="20"/>
          <w:szCs w:val="20"/>
        </w:rPr>
      </w:pPr>
      <w:r w:rsidRPr="00FE6311">
        <w:rPr>
          <w:rFonts w:ascii="Arial" w:hAnsi="Arial" w:cs="Arial"/>
          <w:b/>
          <w:sz w:val="20"/>
          <w:szCs w:val="20"/>
        </w:rPr>
        <w:t>Andel af virksomheder der er gået konkurs</w:t>
      </w:r>
      <w:r>
        <w:rPr>
          <w:rFonts w:ascii="Arial" w:hAnsi="Arial" w:cs="Arial"/>
          <w:b/>
          <w:sz w:val="20"/>
          <w:szCs w:val="20"/>
        </w:rPr>
        <w:t>,</w:t>
      </w:r>
      <w:r w:rsidRPr="00FE6311">
        <w:rPr>
          <w:rFonts w:ascii="Arial" w:hAnsi="Arial" w:cs="Arial"/>
          <w:b/>
          <w:sz w:val="20"/>
          <w:szCs w:val="20"/>
        </w:rPr>
        <w:t xml:space="preserve"> i forhold til antal aktive virksomheder i de respektive </w:t>
      </w:r>
    </w:p>
    <w:p w:rsidR="00204831" w:rsidRDefault="00204831" w:rsidP="00204831">
      <w:pPr>
        <w:rPr>
          <w:rFonts w:ascii="Arial" w:hAnsi="Arial" w:cs="Arial"/>
          <w:b/>
          <w:sz w:val="20"/>
          <w:szCs w:val="20"/>
        </w:rPr>
      </w:pPr>
      <w:r w:rsidRPr="00FE6311">
        <w:rPr>
          <w:rFonts w:ascii="Arial" w:hAnsi="Arial" w:cs="Arial"/>
          <w:b/>
          <w:sz w:val="20"/>
          <w:szCs w:val="20"/>
        </w:rPr>
        <w:t xml:space="preserve">områder - i promille. </w:t>
      </w:r>
    </w:p>
    <w:tbl>
      <w:tblPr>
        <w:tblW w:w="93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396"/>
        <w:gridCol w:w="1176"/>
        <w:gridCol w:w="1176"/>
        <w:gridCol w:w="1036"/>
        <w:gridCol w:w="296"/>
        <w:gridCol w:w="1016"/>
        <w:gridCol w:w="1016"/>
        <w:gridCol w:w="1016"/>
      </w:tblGrid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Område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13/14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14/15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Grønland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50,6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Nordjylland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Færøerne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Midt- og Vestjylland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-1,9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Østjylland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-5,6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Lolland - Falster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37,8¤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-18,1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-18,7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Hovedstaden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10,76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-25,9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Sydjylland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-27,4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Sjælland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-31,9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Bornholm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-45,5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alt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7,55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-19,1</w:t>
            </w:r>
          </w:p>
        </w:tc>
      </w:tr>
    </w:tbl>
    <w:p w:rsidR="00204831" w:rsidRDefault="00204831" w:rsidP="00204831">
      <w:pPr>
        <w:rPr>
          <w:rFonts w:ascii="Arial" w:hAnsi="Arial" w:cs="Arial"/>
          <w:spacing w:val="6"/>
          <w:sz w:val="18"/>
        </w:rPr>
      </w:pPr>
      <w:r>
        <w:rPr>
          <w:rFonts w:ascii="Arial" w:hAnsi="Arial"/>
          <w:sz w:val="16"/>
          <w:szCs w:val="16"/>
        </w:rPr>
        <w:lastRenderedPageBreak/>
        <w:t>Kilde: Statstidende                           ¤Tilnærmet størrelse</w:t>
      </w:r>
    </w:p>
    <w:p w:rsidR="00204831" w:rsidRDefault="00204831" w:rsidP="00204831">
      <w:pPr>
        <w:rPr>
          <w:rFonts w:ascii="Arial" w:hAnsi="Arial" w:cs="Arial"/>
          <w:b/>
          <w:sz w:val="20"/>
          <w:szCs w:val="20"/>
        </w:rPr>
      </w:pPr>
    </w:p>
    <w:p w:rsidR="00204831" w:rsidRDefault="00204831" w:rsidP="00204831">
      <w:pPr>
        <w:rPr>
          <w:rFonts w:ascii="Arial" w:hAnsi="Arial" w:cs="Arial"/>
          <w:b/>
          <w:sz w:val="20"/>
          <w:szCs w:val="20"/>
        </w:rPr>
      </w:pPr>
    </w:p>
    <w:p w:rsidR="00204831" w:rsidRPr="00C0257F" w:rsidRDefault="00204831" w:rsidP="00204831">
      <w:pPr>
        <w:pStyle w:val="Overskrift1"/>
        <w:rPr>
          <w:rFonts w:ascii="Arial" w:hAnsi="Arial" w:cs="Arial"/>
          <w:sz w:val="24"/>
          <w:szCs w:val="24"/>
          <w:u w:val="none"/>
        </w:rPr>
      </w:pPr>
      <w:r w:rsidRPr="00C0257F">
        <w:rPr>
          <w:rFonts w:ascii="Arial" w:hAnsi="Arial" w:cs="Arial"/>
          <w:sz w:val="24"/>
          <w:szCs w:val="24"/>
          <w:u w:val="none"/>
        </w:rPr>
        <w:t>Kommentarer til konkurserne fordelt på brancher</w:t>
      </w:r>
    </w:p>
    <w:p w:rsidR="00204831" w:rsidRDefault="00204831" w:rsidP="00204831">
      <w:pPr>
        <w:pStyle w:val="Brdtekst"/>
        <w:rPr>
          <w:rFonts w:ascii="Arial" w:hAnsi="Arial"/>
          <w:sz w:val="20"/>
        </w:rPr>
      </w:pPr>
      <w:r w:rsidRPr="00C0257F">
        <w:rPr>
          <w:rFonts w:ascii="Arial" w:hAnsi="Arial"/>
          <w:sz w:val="20"/>
        </w:rPr>
        <w:t>Det er</w:t>
      </w:r>
      <w:r>
        <w:rPr>
          <w:rFonts w:ascii="Arial" w:hAnsi="Arial"/>
          <w:sz w:val="20"/>
        </w:rPr>
        <w:t xml:space="preserve"> brancherne Forsyningsvirksomheder og Undervisning, som har haft de relativt største stigninger i antallet af konkurser </w:t>
      </w:r>
      <w:r w:rsidRPr="00C0257F">
        <w:rPr>
          <w:rFonts w:ascii="Arial" w:hAnsi="Arial"/>
          <w:sz w:val="20"/>
        </w:rPr>
        <w:t xml:space="preserve">sammenlignet med </w:t>
      </w:r>
      <w:r>
        <w:rPr>
          <w:rFonts w:ascii="Arial" w:hAnsi="Arial"/>
          <w:sz w:val="20"/>
        </w:rPr>
        <w:t>februar</w:t>
      </w:r>
      <w:r w:rsidRPr="00C0257F">
        <w:rPr>
          <w:rFonts w:ascii="Arial" w:hAnsi="Arial"/>
          <w:sz w:val="20"/>
        </w:rPr>
        <w:t xml:space="preserve"> 20</w:t>
      </w:r>
      <w:r>
        <w:rPr>
          <w:rFonts w:ascii="Arial" w:hAnsi="Arial"/>
          <w:sz w:val="20"/>
        </w:rPr>
        <w:t>14</w:t>
      </w:r>
      <w:r>
        <w:rPr>
          <w:rFonts w:ascii="Arial" w:hAnsi="Arial" w:cs="Arial"/>
          <w:sz w:val="18"/>
          <w:szCs w:val="18"/>
        </w:rPr>
        <w:t xml:space="preserve">. </w:t>
      </w:r>
      <w:r w:rsidRPr="00C0257F">
        <w:rPr>
          <w:rFonts w:ascii="Arial" w:hAnsi="Arial"/>
          <w:sz w:val="20"/>
        </w:rPr>
        <w:t>Brancherne</w:t>
      </w:r>
      <w:r>
        <w:rPr>
          <w:rFonts w:ascii="Arial" w:hAnsi="Arial"/>
          <w:sz w:val="20"/>
        </w:rPr>
        <w:t xml:space="preserve"> Andre serviceydelser og Transport, h</w:t>
      </w:r>
      <w:r w:rsidRPr="00C0257F">
        <w:rPr>
          <w:rFonts w:ascii="Arial" w:hAnsi="Arial"/>
          <w:sz w:val="20"/>
        </w:rPr>
        <w:t xml:space="preserve">ar haft de relativt største </w:t>
      </w:r>
      <w:r>
        <w:rPr>
          <w:rFonts w:ascii="Arial" w:hAnsi="Arial"/>
          <w:sz w:val="20"/>
        </w:rPr>
        <w:t>fald</w:t>
      </w:r>
      <w:r w:rsidRPr="00C0257F">
        <w:rPr>
          <w:rFonts w:ascii="Arial" w:hAnsi="Arial"/>
          <w:sz w:val="20"/>
        </w:rPr>
        <w:t xml:space="preserve"> i antallet af konkurser</w:t>
      </w:r>
      <w:r>
        <w:rPr>
          <w:rFonts w:ascii="Arial" w:hAnsi="Arial"/>
          <w:sz w:val="20"/>
        </w:rPr>
        <w:t>.</w:t>
      </w:r>
      <w:r w:rsidRPr="00C0257F">
        <w:rPr>
          <w:rFonts w:ascii="Arial" w:hAnsi="Arial"/>
          <w:sz w:val="20"/>
        </w:rPr>
        <w:t xml:space="preserve"> </w:t>
      </w:r>
    </w:p>
    <w:p w:rsidR="00204831" w:rsidRDefault="00204831" w:rsidP="00204831">
      <w:pPr>
        <w:rPr>
          <w:rFonts w:ascii="Arial" w:hAnsi="Arial"/>
          <w:sz w:val="20"/>
        </w:rPr>
      </w:pPr>
      <w:r w:rsidRPr="00C0257F">
        <w:rPr>
          <w:rFonts w:ascii="Arial" w:hAnsi="Arial"/>
          <w:sz w:val="20"/>
        </w:rPr>
        <w:t xml:space="preserve">Når der ses på </w:t>
      </w:r>
      <w:r>
        <w:rPr>
          <w:rFonts w:ascii="Arial" w:hAnsi="Arial"/>
          <w:sz w:val="20"/>
        </w:rPr>
        <w:t>de seneste 12 måneder</w:t>
      </w:r>
      <w:r w:rsidRPr="00C0257F">
        <w:rPr>
          <w:rFonts w:ascii="Arial" w:hAnsi="Arial"/>
          <w:sz w:val="20"/>
        </w:rPr>
        <w:t>, er det</w:t>
      </w:r>
      <w:r>
        <w:rPr>
          <w:rFonts w:ascii="Arial" w:hAnsi="Arial"/>
          <w:sz w:val="20"/>
        </w:rPr>
        <w:t xml:space="preserve"> kun brancherne Landbrug, fisk. mm., Undervisning og Overnatning &amp; Restauration,</w:t>
      </w:r>
      <w:r w:rsidRPr="00C0257F">
        <w:rPr>
          <w:rFonts w:ascii="Arial" w:hAnsi="Arial"/>
          <w:sz w:val="20"/>
        </w:rPr>
        <w:t xml:space="preserve"> som har haft </w:t>
      </w:r>
      <w:r>
        <w:rPr>
          <w:rFonts w:ascii="Arial" w:hAnsi="Arial"/>
          <w:sz w:val="20"/>
        </w:rPr>
        <w:t xml:space="preserve">en </w:t>
      </w:r>
      <w:r w:rsidRPr="00C0257F">
        <w:rPr>
          <w:rFonts w:ascii="Arial" w:hAnsi="Arial"/>
          <w:sz w:val="20"/>
        </w:rPr>
        <w:t xml:space="preserve">stigning. </w:t>
      </w:r>
      <w:r>
        <w:rPr>
          <w:rFonts w:ascii="Arial" w:hAnsi="Arial"/>
          <w:sz w:val="20"/>
        </w:rPr>
        <w:t>Det er branchen</w:t>
      </w:r>
      <w:r w:rsidRPr="00C0257F">
        <w:rPr>
          <w:rFonts w:ascii="Arial" w:hAnsi="Arial"/>
          <w:sz w:val="20"/>
        </w:rPr>
        <w:t xml:space="preserve"> Handel, som nominelt har haft flest konkurser i løbet af </w:t>
      </w:r>
      <w:r>
        <w:rPr>
          <w:rFonts w:ascii="Arial" w:hAnsi="Arial"/>
          <w:sz w:val="20"/>
        </w:rPr>
        <w:t>de sidste 12 måneder. Brancherne Fas</w:t>
      </w:r>
      <w:r>
        <w:rPr>
          <w:rFonts w:ascii="Arial" w:hAnsi="Arial" w:cs="Arial"/>
          <w:sz w:val="18"/>
          <w:szCs w:val="18"/>
        </w:rPr>
        <w:t>t ejendom,</w:t>
      </w:r>
      <w:r>
        <w:rPr>
          <w:rFonts w:ascii="Arial" w:hAnsi="Arial"/>
          <w:sz w:val="20"/>
        </w:rPr>
        <w:t xml:space="preserve"> Pengeinstitutter &amp; Finansvirksomheder og Sundhedsvæsen mm., har haft de største relative fald i antal konkurser sammenlignet med de samme 12 måneder et år tidligere</w:t>
      </w:r>
      <w:r w:rsidRPr="00C0257F">
        <w:rPr>
          <w:rFonts w:ascii="Arial" w:hAnsi="Arial"/>
          <w:sz w:val="20"/>
        </w:rPr>
        <w:t>.</w:t>
      </w:r>
    </w:p>
    <w:p w:rsidR="00204831" w:rsidRDefault="00204831" w:rsidP="00204831">
      <w:pPr>
        <w:rPr>
          <w:rFonts w:ascii="Arial" w:hAnsi="Arial"/>
          <w:sz w:val="20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356"/>
        <w:gridCol w:w="1176"/>
        <w:gridCol w:w="1176"/>
        <w:gridCol w:w="976"/>
        <w:gridCol w:w="296"/>
        <w:gridCol w:w="1076"/>
        <w:gridCol w:w="1136"/>
        <w:gridCol w:w="976"/>
      </w:tblGrid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Område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13/14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Landbrug, fisk., mm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Undervisning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Overnat. &amp; Restauration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Råstofindvinding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Liberal service mm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-4,3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Adm. tjenesteydelser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-7,6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Forsyningsvirk. mm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100,0¤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-8,3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Fremstillingsvirk.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-15,7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 serviceydelser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-33,3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-16,4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Handel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-17,1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Bygge og anlæg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-18,3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-31,3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-18,6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Kultur, Forlyst. &amp; Sport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-21,7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&amp; Kommunikation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-21,8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Sundhedsvæsen mm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-22,1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Pengeinst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&amp; Finans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-26,1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Fast ejendom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-4,8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-32,3</w:t>
            </w:r>
          </w:p>
        </w:tc>
      </w:tr>
      <w:tr w:rsidR="00204831" w:rsidTr="00204831">
        <w:trPr>
          <w:trHeight w:val="12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oplyst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-83,3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-19,2</w:t>
            </w:r>
          </w:p>
        </w:tc>
      </w:tr>
      <w:tr w:rsidR="00204831" w:rsidTr="00204831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alt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20,5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-16,0</w:t>
            </w:r>
          </w:p>
        </w:tc>
      </w:tr>
    </w:tbl>
    <w:p w:rsidR="00204831" w:rsidRDefault="00204831" w:rsidP="00204831">
      <w:pPr>
        <w:rPr>
          <w:rFonts w:ascii="Arial" w:hAnsi="Arial" w:cs="Arial"/>
          <w:spacing w:val="6"/>
          <w:sz w:val="18"/>
        </w:rPr>
      </w:pPr>
      <w:r>
        <w:rPr>
          <w:rFonts w:ascii="Arial" w:hAnsi="Arial"/>
          <w:sz w:val="16"/>
          <w:szCs w:val="16"/>
        </w:rPr>
        <w:t xml:space="preserve"> Kilde: Statstidende                          ¤Tilnærmet størrelse</w:t>
      </w:r>
    </w:p>
    <w:p w:rsidR="00204831" w:rsidRDefault="00204831" w:rsidP="00204831">
      <w:pPr>
        <w:rPr>
          <w:rFonts w:ascii="Arial" w:hAnsi="Arial"/>
          <w:sz w:val="16"/>
          <w:szCs w:val="16"/>
        </w:rPr>
      </w:pPr>
    </w:p>
    <w:p w:rsidR="00204831" w:rsidRDefault="00204831" w:rsidP="00204831">
      <w:pPr>
        <w:pStyle w:val="Overskrift1"/>
        <w:rPr>
          <w:rFonts w:ascii="Arial" w:hAnsi="Arial" w:cs="Arial"/>
          <w:sz w:val="24"/>
          <w:szCs w:val="24"/>
          <w:u w:val="none"/>
        </w:rPr>
      </w:pPr>
    </w:p>
    <w:p w:rsidR="00204831" w:rsidRPr="00C0257F" w:rsidRDefault="00204831" w:rsidP="00204831">
      <w:pPr>
        <w:pStyle w:val="Overskrift1"/>
        <w:pageBreakBefore/>
        <w:rPr>
          <w:rFonts w:ascii="Arial" w:hAnsi="Arial" w:cs="Arial"/>
          <w:sz w:val="24"/>
          <w:szCs w:val="24"/>
          <w:u w:val="none"/>
        </w:rPr>
      </w:pPr>
    </w:p>
    <w:p w:rsidR="00204831" w:rsidRDefault="00204831" w:rsidP="00204831">
      <w:pPr>
        <w:pStyle w:val="Brdtekst"/>
        <w:rPr>
          <w:rFonts w:ascii="Arial" w:hAnsi="Arial"/>
          <w:sz w:val="20"/>
        </w:rPr>
      </w:pPr>
    </w:p>
    <w:p w:rsidR="00204831" w:rsidRDefault="00204831" w:rsidP="00204831">
      <w:pPr>
        <w:pStyle w:val="Brdtekst"/>
        <w:rPr>
          <w:rFonts w:ascii="Arial" w:hAnsi="Arial"/>
          <w:sz w:val="20"/>
        </w:rPr>
      </w:pPr>
    </w:p>
    <w:p w:rsidR="00204831" w:rsidRPr="00204831" w:rsidRDefault="00204831" w:rsidP="00204831">
      <w:pPr>
        <w:pStyle w:val="Brdtekst"/>
        <w:rPr>
          <w:rFonts w:ascii="Arial" w:hAnsi="Arial"/>
          <w:b/>
          <w:szCs w:val="24"/>
        </w:rPr>
      </w:pPr>
      <w:r w:rsidRPr="00204831">
        <w:rPr>
          <w:rFonts w:ascii="Arial" w:hAnsi="Arial"/>
          <w:b/>
          <w:szCs w:val="24"/>
        </w:rPr>
        <w:t>Kommentarer til konkurserne fordelt på brancher – relative størrelser</w:t>
      </w:r>
    </w:p>
    <w:p w:rsidR="00204831" w:rsidRDefault="00204831" w:rsidP="00204831">
      <w:pPr>
        <w:pStyle w:val="Brdtekst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man ser på hvor stor en andel af virksomheder i de respektive brancher, der gik konkurs i februar 2015, kan man se at for hver 1000 aktive virksomheder blandt alle virksomheder i Overnatning &amp; Restauration, gik 1,12 virksomheder konkurs i februar 2015. Det er Overnatning &amp; Restauration, Fremstillingsvirksomheder og Handel, der har de største andele af konkurser. Udover Råstofindvinding som slet ikke har haft nogle konkurser i februar 2015, er det Andre Serviceydelser og Sundhedsvæsen mm., som har de laveste andele af konkurser.</w:t>
      </w:r>
    </w:p>
    <w:p w:rsidR="00204831" w:rsidRDefault="00204831" w:rsidP="00204831">
      <w:pPr>
        <w:pStyle w:val="Brdtekst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man ser på de seneste 12 måneder, er det Overnatning &amp; Restauration og Bygge &amp; Anlæg, der viser de største andele. 18,23 virksomheder gik konkurs for hver 1000 aktive virksomheder i Overnatning &amp; Restauration over en 12 måneders periode – det er steget fra godt 17 virksomheder for et år siden. Når man ser på de nominelle størrelser, er det Handel som har flest konkurser, men set i forhold til selve antallet af aktive virksomheder der er i branchen, er det altså Overnatning &amp; Restauration som har flest konkurser. Det er Andre serviceydelser og Sundhedsvæsen, som har de laveste andele over en 12 måneders periode.</w:t>
      </w:r>
    </w:p>
    <w:p w:rsidR="00204831" w:rsidRDefault="00204831" w:rsidP="00204831">
      <w:pPr>
        <w:pStyle w:val="Brdtekst"/>
        <w:rPr>
          <w:rFonts w:ascii="Arial" w:hAnsi="Arial"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  <w:r w:rsidRPr="00FE6311">
        <w:rPr>
          <w:rFonts w:ascii="Arial" w:hAnsi="Arial" w:cs="Arial"/>
          <w:b/>
          <w:sz w:val="20"/>
        </w:rPr>
        <w:t>Andel af virksomheder der er gået konkurs</w:t>
      </w:r>
      <w:r>
        <w:rPr>
          <w:rFonts w:ascii="Arial" w:hAnsi="Arial" w:cs="Arial"/>
          <w:b/>
          <w:sz w:val="20"/>
        </w:rPr>
        <w:t>,</w:t>
      </w:r>
      <w:r w:rsidRPr="00FE6311">
        <w:rPr>
          <w:rFonts w:ascii="Arial" w:hAnsi="Arial" w:cs="Arial"/>
          <w:b/>
          <w:sz w:val="20"/>
        </w:rPr>
        <w:t xml:space="preserve"> i forhold til antal aktive virksomheder i de respektive </w:t>
      </w:r>
      <w:r>
        <w:rPr>
          <w:rFonts w:ascii="Arial" w:hAnsi="Arial" w:cs="Arial"/>
          <w:b/>
          <w:sz w:val="20"/>
        </w:rPr>
        <w:t>brancher</w:t>
      </w:r>
      <w:r w:rsidRPr="00FE6311">
        <w:rPr>
          <w:rFonts w:ascii="Arial" w:hAnsi="Arial" w:cs="Arial"/>
          <w:b/>
          <w:sz w:val="20"/>
        </w:rPr>
        <w:t xml:space="preserve"> - i promille. </w:t>
      </w:r>
    </w:p>
    <w:tbl>
      <w:tblPr>
        <w:tblW w:w="96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36"/>
        <w:gridCol w:w="1176"/>
        <w:gridCol w:w="1176"/>
        <w:gridCol w:w="1156"/>
        <w:gridCol w:w="176"/>
        <w:gridCol w:w="1176"/>
        <w:gridCol w:w="1176"/>
        <w:gridCol w:w="1156"/>
      </w:tblGrid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Mar./Feb.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Udvikling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Område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13/14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14/15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Landbrug, fisk.,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Overnat. &amp; Restauration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Undervisning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Råstofindvinding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-4,2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Liberal service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-6,6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Adm. tjenesteydelser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11,88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-10,5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Forsyningsvirk.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15,9¤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-12,0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Fremstillingsvirk.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12,99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10,86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-16,4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42,8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-17,9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-30,9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14,85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-18,2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Bygge og anlæg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16,91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13,42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-20,6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&amp; Kommunikation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-22,7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Sundhedsvæsen mm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-23,4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Kultur, Forlyst. &amp; Sport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-24,5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 serviceydelser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-25,1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Pengeinst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&amp; Finans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-25,6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Fast ejendom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-32,8</w:t>
            </w:r>
          </w:p>
        </w:tc>
      </w:tr>
      <w:tr w:rsidR="00204831" w:rsidTr="00204831">
        <w:trPr>
          <w:trHeight w:val="13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oplyst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-86,7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-35,3</w:t>
            </w:r>
          </w:p>
        </w:tc>
      </w:tr>
      <w:tr w:rsidR="00204831" w:rsidTr="00204831">
        <w:trPr>
          <w:trHeight w:val="25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alt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16,4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831" w:rsidRDefault="00204831" w:rsidP="002048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7,55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831" w:rsidRDefault="00204831" w:rsidP="002048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-18,9</w:t>
            </w:r>
          </w:p>
        </w:tc>
      </w:tr>
    </w:tbl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pStyle w:val="Brdtekst"/>
        <w:rPr>
          <w:rFonts w:ascii="Arial" w:hAnsi="Arial" w:cs="Arial"/>
          <w:b/>
          <w:sz w:val="20"/>
        </w:rPr>
      </w:pPr>
    </w:p>
    <w:p w:rsidR="00204831" w:rsidRDefault="00204831" w:rsidP="00204831">
      <w:pPr>
        <w:rPr>
          <w:rFonts w:ascii="Arial" w:hAnsi="Arial"/>
          <w:b/>
          <w:spacing w:val="6"/>
        </w:rPr>
      </w:pPr>
    </w:p>
    <w:p w:rsidR="00204831" w:rsidRDefault="00204831" w:rsidP="00204831">
      <w:pPr>
        <w:rPr>
          <w:rFonts w:ascii="Arial" w:hAnsi="Arial"/>
          <w:b/>
          <w:spacing w:val="6"/>
        </w:rPr>
      </w:pPr>
    </w:p>
    <w:p w:rsidR="00204831" w:rsidRDefault="00204831" w:rsidP="00204831">
      <w:pPr>
        <w:rPr>
          <w:rFonts w:ascii="Arial" w:hAnsi="Arial"/>
          <w:b/>
          <w:spacing w:val="6"/>
        </w:rPr>
      </w:pPr>
      <w:r w:rsidRPr="00793298">
        <w:rPr>
          <w:rFonts w:ascii="Arial" w:hAnsi="Arial"/>
          <w:b/>
          <w:spacing w:val="6"/>
        </w:rPr>
        <w:t xml:space="preserve"> </w:t>
      </w:r>
    </w:p>
    <w:p w:rsidR="00204831" w:rsidRDefault="00B5772C" w:rsidP="00204831">
      <w:pPr>
        <w:rPr>
          <w:rFonts w:ascii="Arial" w:hAnsi="Arial"/>
          <w:b/>
          <w:spacing w:val="6"/>
        </w:rPr>
      </w:pPr>
      <w:r>
        <w:rPr>
          <w:rFonts w:ascii="Arial" w:hAnsi="Arial"/>
          <w:b/>
          <w:spacing w:val="6"/>
        </w:rPr>
        <w:t>Udvikling i d</w:t>
      </w:r>
      <w:r w:rsidRPr="001A1EA9">
        <w:rPr>
          <w:rFonts w:ascii="Arial" w:hAnsi="Arial"/>
          <w:b/>
          <w:spacing w:val="6"/>
        </w:rPr>
        <w:t>et løbende gennemsnit</w:t>
      </w:r>
    </w:p>
    <w:p w:rsidR="00204831" w:rsidRDefault="00204831" w:rsidP="00204831">
      <w:pPr>
        <w:rPr>
          <w:rFonts w:ascii="Arial" w:hAnsi="Arial"/>
          <w:b/>
          <w:spacing w:val="6"/>
        </w:rPr>
      </w:pPr>
    </w:p>
    <w:p w:rsidR="00204831" w:rsidRDefault="00204831" w:rsidP="00204831">
      <w:pPr>
        <w:rPr>
          <w:rFonts w:ascii="Arial" w:hAnsi="Arial"/>
          <w:b/>
          <w:spacing w:val="6"/>
        </w:rPr>
      </w:pPr>
      <w:r>
        <w:rPr>
          <w:noProof/>
          <w:lang w:val="en-US"/>
        </w:rPr>
        <w:drawing>
          <wp:inline distT="0" distB="0" distL="0" distR="0" wp14:anchorId="64E14C50" wp14:editId="323994EC">
            <wp:extent cx="5086350" cy="250507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4831" w:rsidRDefault="00204831" w:rsidP="00204831">
      <w:pPr>
        <w:rPr>
          <w:rFonts w:ascii="Arial" w:hAnsi="Arial"/>
          <w:b/>
          <w:spacing w:val="6"/>
        </w:rPr>
      </w:pPr>
    </w:p>
    <w:p w:rsidR="00204831" w:rsidRDefault="00204831" w:rsidP="00204831">
      <w:pPr>
        <w:rPr>
          <w:rFonts w:ascii="Arial" w:hAnsi="Arial"/>
          <w:b/>
          <w:spacing w:val="6"/>
        </w:rPr>
      </w:pPr>
    </w:p>
    <w:p w:rsidR="00204831" w:rsidRPr="003F2254" w:rsidRDefault="00204831" w:rsidP="00204831">
      <w:pPr>
        <w:rPr>
          <w:rFonts w:ascii="Arial" w:hAnsi="Arial"/>
          <w:b/>
          <w:spacing w:val="6"/>
          <w:sz w:val="22"/>
          <w:szCs w:val="22"/>
        </w:rPr>
      </w:pPr>
      <w:r w:rsidRPr="001A1EA9">
        <w:rPr>
          <w:rFonts w:ascii="Arial" w:hAnsi="Arial"/>
          <w:b/>
          <w:spacing w:val="6"/>
        </w:rPr>
        <w:t>Kommentar til udvikling i det løbende gennemsnit</w:t>
      </w:r>
    </w:p>
    <w:p w:rsidR="00204831" w:rsidRDefault="00204831" w:rsidP="00204831">
      <w:pPr>
        <w:rPr>
          <w:rFonts w:ascii="Arial" w:hAnsi="Arial"/>
          <w:spacing w:val="6"/>
          <w:sz w:val="18"/>
          <w:szCs w:val="18"/>
        </w:rPr>
      </w:pPr>
      <w:r>
        <w:rPr>
          <w:rFonts w:ascii="Arial" w:hAnsi="Arial"/>
          <w:spacing w:val="6"/>
          <w:sz w:val="20"/>
          <w:szCs w:val="20"/>
        </w:rPr>
        <w:t>I februar 2015</w:t>
      </w:r>
      <w:r w:rsidRPr="001A1EA9">
        <w:rPr>
          <w:rFonts w:ascii="Arial" w:hAnsi="Arial"/>
          <w:spacing w:val="6"/>
          <w:sz w:val="20"/>
          <w:szCs w:val="20"/>
        </w:rPr>
        <w:t xml:space="preserve"> </w:t>
      </w:r>
      <w:r>
        <w:rPr>
          <w:rFonts w:ascii="Arial" w:hAnsi="Arial"/>
          <w:spacing w:val="6"/>
          <w:sz w:val="20"/>
          <w:szCs w:val="20"/>
        </w:rPr>
        <w:t>var der 300</w:t>
      </w:r>
      <w:r w:rsidRPr="001A1EA9">
        <w:rPr>
          <w:rFonts w:ascii="Arial" w:hAnsi="Arial"/>
          <w:spacing w:val="6"/>
          <w:sz w:val="20"/>
          <w:szCs w:val="20"/>
        </w:rPr>
        <w:t xml:space="preserve"> konkurser</w:t>
      </w:r>
      <w:r>
        <w:rPr>
          <w:rFonts w:ascii="Arial" w:hAnsi="Arial"/>
          <w:spacing w:val="6"/>
          <w:sz w:val="20"/>
          <w:szCs w:val="20"/>
        </w:rPr>
        <w:t xml:space="preserve">. Det har fået 12 måneders </w:t>
      </w:r>
      <w:r w:rsidRPr="001A1EA9">
        <w:rPr>
          <w:rFonts w:ascii="Arial" w:hAnsi="Arial"/>
          <w:spacing w:val="6"/>
          <w:sz w:val="20"/>
          <w:szCs w:val="20"/>
        </w:rPr>
        <w:t>gennemsnittet</w:t>
      </w:r>
      <w:r>
        <w:rPr>
          <w:rFonts w:ascii="Arial" w:hAnsi="Arial"/>
          <w:spacing w:val="6"/>
          <w:sz w:val="20"/>
          <w:szCs w:val="20"/>
        </w:rPr>
        <w:t xml:space="preserve"> til at stige – for første gang siden januar 2014 -  til 348. Der har ikke været færre konkurser – 12-måneders gennemsnittet - siden januar 2009. For 3 år siden i februar 2012 var niveauet 469, mens det for 7 år siden i februar 2008, var på 206. </w:t>
      </w:r>
    </w:p>
    <w:p w:rsidR="00204831" w:rsidRDefault="00204831" w:rsidP="00204831">
      <w:pPr>
        <w:rPr>
          <w:rFonts w:ascii="Arial" w:hAnsi="Arial"/>
          <w:spacing w:val="6"/>
          <w:sz w:val="18"/>
          <w:szCs w:val="18"/>
        </w:rPr>
      </w:pPr>
    </w:p>
    <w:p w:rsidR="00204831" w:rsidRDefault="00204831" w:rsidP="00305A09">
      <w:pPr>
        <w:rPr>
          <w:rFonts w:ascii="Arial" w:hAnsi="Arial"/>
          <w:b/>
          <w:spacing w:val="6"/>
        </w:rPr>
      </w:pPr>
    </w:p>
    <w:p w:rsidR="00305A09" w:rsidRPr="00305A09" w:rsidRDefault="00305A09" w:rsidP="00305A09">
      <w:pPr>
        <w:rPr>
          <w:rFonts w:ascii="Arial" w:hAnsi="Arial"/>
          <w:b/>
          <w:lang w:val="de-DE"/>
        </w:rPr>
      </w:pPr>
      <w:r w:rsidRPr="00305A09">
        <w:rPr>
          <w:rFonts w:ascii="Arial" w:hAnsi="Arial"/>
          <w:b/>
          <w:spacing w:val="6"/>
        </w:rPr>
        <w:t>D</w:t>
      </w:r>
      <w:proofErr w:type="spellStart"/>
      <w:r w:rsidRPr="00305A09">
        <w:rPr>
          <w:rFonts w:ascii="Arial" w:hAnsi="Arial"/>
          <w:b/>
          <w:lang w:val="de-DE"/>
        </w:rPr>
        <w:t>efinitioner</w:t>
      </w:r>
      <w:proofErr w:type="spellEnd"/>
      <w:r w:rsidRPr="00305A09">
        <w:rPr>
          <w:rFonts w:ascii="Arial" w:hAnsi="Arial"/>
          <w:b/>
          <w:lang w:val="de-DE"/>
        </w:rPr>
        <w:t>:</w:t>
      </w:r>
    </w:p>
    <w:p w:rsidR="00305A09" w:rsidRDefault="00305A09" w:rsidP="00305A09">
      <w:pPr>
        <w:ind w:left="360"/>
        <w:rPr>
          <w:rFonts w:ascii="Arial" w:hAnsi="Arial"/>
          <w:sz w:val="20"/>
          <w:szCs w:val="20"/>
          <w:lang w:val="de-DE"/>
        </w:rPr>
      </w:pPr>
    </w:p>
    <w:tbl>
      <w:tblPr>
        <w:tblW w:w="39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0"/>
      </w:tblGrid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Område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Postnummer interval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Hovedstaden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1000-3670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Bornholm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3700-3790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Sjælland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4000-4793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Lolland - Falster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4800-4990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5000-5985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Sydjylland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6000-6990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Midt- og Vestjylland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7000-7990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8000-8990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9000-9990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Grønland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3900-3995</w:t>
            </w:r>
          </w:p>
        </w:tc>
      </w:tr>
      <w:tr w:rsidR="00305A09" w:rsidTr="0020483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Færøerne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A09" w:rsidRDefault="00305A09" w:rsidP="0020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0100-0970</w:t>
            </w:r>
          </w:p>
        </w:tc>
      </w:tr>
    </w:tbl>
    <w:p w:rsidR="00305A09" w:rsidRDefault="00305A09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204831" w:rsidRDefault="00204831" w:rsidP="00305A09">
      <w:pPr>
        <w:rPr>
          <w:rFonts w:ascii="Arial" w:hAnsi="Arial"/>
          <w:b/>
          <w:spacing w:val="6"/>
          <w:sz w:val="22"/>
          <w:szCs w:val="22"/>
        </w:rPr>
      </w:pPr>
    </w:p>
    <w:p w:rsidR="00305A09" w:rsidRDefault="00305A09" w:rsidP="00305A09">
      <w:pPr>
        <w:rPr>
          <w:rFonts w:ascii="Arial" w:hAnsi="Arial" w:cs="Arial"/>
          <w:sz w:val="20"/>
        </w:rPr>
      </w:pPr>
    </w:p>
    <w:p w:rsidR="00204831" w:rsidRDefault="00204831" w:rsidP="00305A09">
      <w:pPr>
        <w:rPr>
          <w:rFonts w:ascii="Arial" w:hAnsi="Arial" w:cs="Arial"/>
          <w:sz w:val="20"/>
        </w:rPr>
      </w:pPr>
    </w:p>
    <w:p w:rsidR="00204831" w:rsidRDefault="00204831" w:rsidP="00305A09">
      <w:pPr>
        <w:rPr>
          <w:rFonts w:ascii="Arial" w:hAnsi="Arial" w:cs="Arial"/>
          <w:sz w:val="20"/>
        </w:rPr>
      </w:pP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04831">
        <w:rPr>
          <w:rFonts w:ascii="Arial" w:hAnsi="Arial" w:cs="Arial"/>
          <w:b/>
          <w:bCs/>
        </w:rPr>
        <w:t xml:space="preserve">Om </w:t>
      </w:r>
      <w:proofErr w:type="spellStart"/>
      <w:r w:rsidRPr="00204831">
        <w:rPr>
          <w:rFonts w:ascii="Arial" w:hAnsi="Arial" w:cs="Arial"/>
          <w:b/>
          <w:bCs/>
        </w:rPr>
        <w:t>Experian</w:t>
      </w:r>
      <w:proofErr w:type="spellEnd"/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204831">
        <w:rPr>
          <w:rFonts w:ascii="Arial" w:hAnsi="Arial" w:cs="Arial"/>
          <w:sz w:val="20"/>
          <w:szCs w:val="20"/>
        </w:rPr>
        <w:t>Experian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er verdens førende leverandør af data, analyser og statistiske modeller, der leverer data og analyseværktøjer til kunder i hele verden. Koncernen hjælper virksomheder med at styre kreditrisiko, forhindre</w:t>
      </w: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4831">
        <w:rPr>
          <w:rFonts w:ascii="Arial" w:hAnsi="Arial" w:cs="Arial"/>
          <w:sz w:val="20"/>
          <w:szCs w:val="20"/>
        </w:rPr>
        <w:t xml:space="preserve">svindel, målrette markedsføring og automatisere beslutningsprocesser. </w:t>
      </w:r>
      <w:proofErr w:type="spellStart"/>
      <w:r w:rsidRPr="00204831">
        <w:rPr>
          <w:rFonts w:ascii="Arial" w:hAnsi="Arial" w:cs="Arial"/>
          <w:sz w:val="20"/>
          <w:szCs w:val="20"/>
        </w:rPr>
        <w:t>Experian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hjælper også enkeltpersoner til at kontrollere deres kreditscore og beskytte dem mod identitetstyveri. </w:t>
      </w:r>
      <w:proofErr w:type="spellStart"/>
      <w:r w:rsidRPr="00204831">
        <w:rPr>
          <w:rFonts w:ascii="Arial" w:hAnsi="Arial" w:cs="Arial"/>
          <w:sz w:val="20"/>
          <w:szCs w:val="20"/>
        </w:rPr>
        <w:t>Experian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831">
        <w:rPr>
          <w:rFonts w:ascii="Arial" w:hAnsi="Arial" w:cs="Arial"/>
          <w:sz w:val="20"/>
          <w:szCs w:val="20"/>
        </w:rPr>
        <w:t>plc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er noteret på London</w:t>
      </w: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204831">
        <w:rPr>
          <w:rFonts w:ascii="Arial" w:hAnsi="Arial" w:cs="Arial"/>
          <w:sz w:val="20"/>
          <w:szCs w:val="20"/>
        </w:rPr>
        <w:t>Stock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Exchange (EXPN), og er en del af FTSE 100-indekset. Den samlede omsætning finansåret 2014 var 4,8 mia. USD. </w:t>
      </w:r>
      <w:proofErr w:type="spellStart"/>
      <w:r w:rsidRPr="00204831">
        <w:rPr>
          <w:rFonts w:ascii="Arial" w:hAnsi="Arial" w:cs="Arial"/>
          <w:sz w:val="20"/>
          <w:szCs w:val="20"/>
        </w:rPr>
        <w:t>Experian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beskæftiger 16.000 mennesker i 39 lande og har hovedkvarter i Dublin, Irland, med operative hovedkvarter i Nottingham (UK), Californien (USA) og São Paulo (Brasilien).</w:t>
      </w: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r w:rsidRPr="00204831">
        <w:rPr>
          <w:rFonts w:ascii="Arial" w:hAnsi="Arial" w:cs="Arial"/>
          <w:b/>
          <w:bCs/>
        </w:rPr>
        <w:t>Experian</w:t>
      </w:r>
      <w:proofErr w:type="spellEnd"/>
      <w:r w:rsidRPr="00204831">
        <w:rPr>
          <w:rFonts w:ascii="Arial" w:hAnsi="Arial" w:cs="Arial"/>
          <w:b/>
          <w:bCs/>
        </w:rPr>
        <w:t xml:space="preserve"> i Norden</w:t>
      </w: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4831">
        <w:rPr>
          <w:rFonts w:ascii="Arial" w:hAnsi="Arial" w:cs="Arial"/>
          <w:sz w:val="20"/>
          <w:szCs w:val="20"/>
        </w:rPr>
        <w:t xml:space="preserve">I Norden er </w:t>
      </w:r>
      <w:proofErr w:type="spellStart"/>
      <w:r w:rsidRPr="00204831">
        <w:rPr>
          <w:rFonts w:ascii="Arial" w:hAnsi="Arial" w:cs="Arial"/>
          <w:sz w:val="20"/>
          <w:szCs w:val="20"/>
        </w:rPr>
        <w:t>Experian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repræsenteret i Danmark, Norge og Estland. Den nordiske organisation er en del af EMEA (Europa, Mellemøsten og Afrika). I Danmark har </w:t>
      </w:r>
      <w:proofErr w:type="spellStart"/>
      <w:r w:rsidRPr="00204831">
        <w:rPr>
          <w:rFonts w:ascii="Arial" w:hAnsi="Arial" w:cs="Arial"/>
          <w:sz w:val="20"/>
          <w:szCs w:val="20"/>
        </w:rPr>
        <w:t>Experian</w:t>
      </w:r>
      <w:proofErr w:type="spellEnd"/>
      <w:r w:rsidRPr="00204831">
        <w:rPr>
          <w:rFonts w:ascii="Arial" w:hAnsi="Arial" w:cs="Arial"/>
          <w:sz w:val="20"/>
          <w:szCs w:val="20"/>
        </w:rPr>
        <w:t xml:space="preserve"> en hovedafdeling på Østerbro i København og et kontor i Silkeborg og beskæftiger ca. 120 mennesker inden for data, statistik, analyse, salg og</w:t>
      </w: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4831">
        <w:rPr>
          <w:rFonts w:ascii="Arial" w:hAnsi="Arial" w:cs="Arial"/>
          <w:sz w:val="20"/>
          <w:szCs w:val="20"/>
        </w:rPr>
        <w:t>markedsføring.</w:t>
      </w: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04831" w:rsidRPr="00204831" w:rsidRDefault="00204831" w:rsidP="0020483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04831">
        <w:rPr>
          <w:rFonts w:ascii="Arial" w:hAnsi="Arial" w:cs="Arial"/>
          <w:b/>
          <w:bCs/>
        </w:rPr>
        <w:t>For yderligere oplysninger kontakt venligst:</w:t>
      </w:r>
    </w:p>
    <w:p w:rsidR="00204831" w:rsidRPr="00204831" w:rsidRDefault="00204831" w:rsidP="00204831">
      <w:pPr>
        <w:rPr>
          <w:sz w:val="20"/>
          <w:szCs w:val="20"/>
        </w:rPr>
      </w:pPr>
      <w:r w:rsidRPr="00204831">
        <w:rPr>
          <w:rFonts w:ascii="Arial" w:hAnsi="Arial" w:cs="Arial"/>
          <w:sz w:val="20"/>
          <w:szCs w:val="20"/>
        </w:rPr>
        <w:t>Nordisk direktør for analyse og forretningsudvikling, Frank Papsø, tlf. 51</w:t>
      </w:r>
      <w:r w:rsidR="00B5772C">
        <w:rPr>
          <w:rFonts w:ascii="Arial" w:hAnsi="Arial" w:cs="Arial"/>
          <w:sz w:val="20"/>
          <w:szCs w:val="20"/>
        </w:rPr>
        <w:t xml:space="preserve"> </w:t>
      </w:r>
      <w:r w:rsidRPr="00204831">
        <w:rPr>
          <w:rFonts w:ascii="Arial" w:hAnsi="Arial" w:cs="Arial"/>
          <w:sz w:val="20"/>
          <w:szCs w:val="20"/>
        </w:rPr>
        <w:t>41 20</w:t>
      </w:r>
      <w:r w:rsidR="00B5772C">
        <w:rPr>
          <w:rFonts w:ascii="Arial" w:hAnsi="Arial" w:cs="Arial"/>
          <w:sz w:val="20"/>
          <w:szCs w:val="20"/>
        </w:rPr>
        <w:t xml:space="preserve"> </w:t>
      </w:r>
      <w:r w:rsidRPr="00204831">
        <w:rPr>
          <w:rFonts w:ascii="Arial" w:hAnsi="Arial" w:cs="Arial"/>
          <w:sz w:val="20"/>
          <w:szCs w:val="20"/>
        </w:rPr>
        <w:t>89</w:t>
      </w:r>
    </w:p>
    <w:p w:rsidR="00305A09" w:rsidRDefault="00305A09" w:rsidP="00305A09">
      <w:pPr>
        <w:ind w:left="720"/>
        <w:rPr>
          <w:rFonts w:ascii="Arial" w:hAnsi="Arial" w:cs="Arial"/>
        </w:rPr>
      </w:pPr>
    </w:p>
    <w:p w:rsidR="00305A09" w:rsidRDefault="00065F22" w:rsidP="00305A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rect id="_x0000_i1025" style="width:0;height:1.5pt" o:hralign="center" o:hrstd="t" o:hr="t" fillcolor="#aca899" stroked="f"/>
        </w:pict>
      </w:r>
    </w:p>
    <w:p w:rsidR="00305A09" w:rsidRDefault="00305A09" w:rsidP="00305A09">
      <w:pPr>
        <w:rPr>
          <w:rFonts w:ascii="Arial" w:hAnsi="Arial" w:cs="Arial"/>
          <w:b/>
          <w:bCs/>
          <w:sz w:val="20"/>
          <w:szCs w:val="20"/>
        </w:rPr>
      </w:pPr>
    </w:p>
    <w:p w:rsidR="00305A09" w:rsidRDefault="00305A09" w:rsidP="00305A09">
      <w:pPr>
        <w:rPr>
          <w:rFonts w:ascii="Arial" w:hAnsi="Arial" w:cs="Arial"/>
          <w:sz w:val="20"/>
        </w:rPr>
      </w:pPr>
    </w:p>
    <w:p w:rsidR="00B5772C" w:rsidRDefault="00B5772C" w:rsidP="00305A09">
      <w:pPr>
        <w:rPr>
          <w:rFonts w:ascii="Arial" w:hAnsi="Arial" w:cs="Arial"/>
          <w:sz w:val="20"/>
        </w:rPr>
      </w:pPr>
    </w:p>
    <w:p w:rsidR="00CB45E2" w:rsidRDefault="00CB45E2" w:rsidP="00CB45E2">
      <w:pPr>
        <w:rPr>
          <w:rFonts w:ascii="Arial" w:hAnsi="Arial" w:cs="Arial"/>
          <w:sz w:val="20"/>
        </w:rPr>
      </w:pPr>
    </w:p>
    <w:sectPr w:rsidR="00CB45E2" w:rsidSect="00C0257F">
      <w:headerReference w:type="default" r:id="rId10"/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22" w:rsidRDefault="00065F22">
      <w:r>
        <w:separator/>
      </w:r>
    </w:p>
  </w:endnote>
  <w:endnote w:type="continuationSeparator" w:id="0">
    <w:p w:rsidR="00065F22" w:rsidRDefault="0006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22" w:rsidRDefault="00065F22">
      <w:r>
        <w:separator/>
      </w:r>
    </w:p>
  </w:footnote>
  <w:footnote w:type="continuationSeparator" w:id="0">
    <w:p w:rsidR="00065F22" w:rsidRDefault="00065F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22" w:rsidRPr="00CB45E2" w:rsidRDefault="00065F22">
    <w:pPr>
      <w:pStyle w:val="Sidehoved"/>
      <w:rPr>
        <w:rFonts w:ascii="Arial Black" w:hAnsi="Arial Black"/>
        <w:color w:val="8DB3E2" w:themeColor="text2" w:themeTint="66"/>
        <w:sz w:val="36"/>
        <w:szCs w:val="36"/>
      </w:rPr>
    </w:pPr>
    <w:r>
      <w:rPr>
        <w:rFonts w:ascii="Arial" w:hAnsi="Arial"/>
        <w:b/>
        <w:noProof/>
        <w:spacing w:val="6"/>
        <w:lang w:val="en-US"/>
      </w:rPr>
      <w:drawing>
        <wp:inline distT="0" distB="0" distL="0" distR="0" wp14:anchorId="6E89C2D9" wp14:editId="3605027B">
          <wp:extent cx="1482090" cy="79943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154" cy="800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Black" w:hAnsi="Arial Black"/>
        <w:color w:val="8DB3E2" w:themeColor="text2" w:themeTint="66"/>
        <w:sz w:val="28"/>
        <w:szCs w:val="28"/>
      </w:rPr>
      <w:tab/>
    </w:r>
    <w:r>
      <w:rPr>
        <w:rFonts w:ascii="Arial Black" w:hAnsi="Arial Black"/>
        <w:color w:val="8DB3E2" w:themeColor="text2" w:themeTint="66"/>
        <w:sz w:val="28"/>
        <w:szCs w:val="28"/>
      </w:rPr>
      <w:tab/>
    </w:r>
    <w:r>
      <w:rPr>
        <w:rFonts w:ascii="Arial Black" w:hAnsi="Arial Black"/>
        <w:color w:val="8DB3E2" w:themeColor="text2" w:themeTint="66"/>
        <w:sz w:val="28"/>
        <w:szCs w:val="28"/>
      </w:rPr>
      <w:t xml:space="preserve">Konkursanalyse februar </w:t>
    </w:r>
    <w:r w:rsidRPr="00CB45E2">
      <w:rPr>
        <w:rFonts w:ascii="Arial Black" w:hAnsi="Arial Black"/>
        <w:color w:val="8DB3E2" w:themeColor="text2" w:themeTint="66"/>
        <w:sz w:val="28"/>
        <w:szCs w:val="28"/>
      </w:rPr>
      <w:t>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5BCC"/>
    <w:multiLevelType w:val="hybridMultilevel"/>
    <w:tmpl w:val="C87E47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746CD5"/>
    <w:multiLevelType w:val="hybridMultilevel"/>
    <w:tmpl w:val="E5989F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A3"/>
    <w:rsid w:val="00000B84"/>
    <w:rsid w:val="00007861"/>
    <w:rsid w:val="00007F79"/>
    <w:rsid w:val="000119DC"/>
    <w:rsid w:val="000175E1"/>
    <w:rsid w:val="000176B8"/>
    <w:rsid w:val="0002659C"/>
    <w:rsid w:val="000273CD"/>
    <w:rsid w:val="00034DD0"/>
    <w:rsid w:val="000436DB"/>
    <w:rsid w:val="00065F22"/>
    <w:rsid w:val="0006738E"/>
    <w:rsid w:val="00080B44"/>
    <w:rsid w:val="00091FE6"/>
    <w:rsid w:val="00093608"/>
    <w:rsid w:val="000A1A62"/>
    <w:rsid w:val="000A2F92"/>
    <w:rsid w:val="000A4022"/>
    <w:rsid w:val="000A4BBF"/>
    <w:rsid w:val="000B04DA"/>
    <w:rsid w:val="000B4083"/>
    <w:rsid w:val="000B7A4B"/>
    <w:rsid w:val="000C11FE"/>
    <w:rsid w:val="000C3C8E"/>
    <w:rsid w:val="000C5404"/>
    <w:rsid w:val="000C7D10"/>
    <w:rsid w:val="000D1AC6"/>
    <w:rsid w:val="000D3B96"/>
    <w:rsid w:val="000D509F"/>
    <w:rsid w:val="000E0FD1"/>
    <w:rsid w:val="000E232A"/>
    <w:rsid w:val="000E61F9"/>
    <w:rsid w:val="000E7851"/>
    <w:rsid w:val="000F143C"/>
    <w:rsid w:val="00102B8F"/>
    <w:rsid w:val="00103EE6"/>
    <w:rsid w:val="00114ED2"/>
    <w:rsid w:val="00122D7A"/>
    <w:rsid w:val="00133BB6"/>
    <w:rsid w:val="00137CF2"/>
    <w:rsid w:val="00146790"/>
    <w:rsid w:val="00146E0F"/>
    <w:rsid w:val="00147647"/>
    <w:rsid w:val="00147A4D"/>
    <w:rsid w:val="00151E5A"/>
    <w:rsid w:val="001537B5"/>
    <w:rsid w:val="00153E14"/>
    <w:rsid w:val="001543C6"/>
    <w:rsid w:val="00157534"/>
    <w:rsid w:val="00157CD5"/>
    <w:rsid w:val="001618F4"/>
    <w:rsid w:val="0017183D"/>
    <w:rsid w:val="00177E5B"/>
    <w:rsid w:val="001823FD"/>
    <w:rsid w:val="00192CC5"/>
    <w:rsid w:val="001A1A89"/>
    <w:rsid w:val="001A1EA9"/>
    <w:rsid w:val="001A2F0C"/>
    <w:rsid w:val="001B15DB"/>
    <w:rsid w:val="001C5C88"/>
    <w:rsid w:val="001C7670"/>
    <w:rsid w:val="001D078F"/>
    <w:rsid w:val="001D3BA7"/>
    <w:rsid w:val="001D6DDC"/>
    <w:rsid w:val="001E0F75"/>
    <w:rsid w:val="001F2DEA"/>
    <w:rsid w:val="001F5A66"/>
    <w:rsid w:val="00204831"/>
    <w:rsid w:val="002054F6"/>
    <w:rsid w:val="002110CE"/>
    <w:rsid w:val="002154C7"/>
    <w:rsid w:val="00225B4B"/>
    <w:rsid w:val="002279D1"/>
    <w:rsid w:val="00234D3F"/>
    <w:rsid w:val="00241969"/>
    <w:rsid w:val="002648DD"/>
    <w:rsid w:val="002700D7"/>
    <w:rsid w:val="0027040C"/>
    <w:rsid w:val="002705C5"/>
    <w:rsid w:val="00276E55"/>
    <w:rsid w:val="00281024"/>
    <w:rsid w:val="002821C1"/>
    <w:rsid w:val="00296A07"/>
    <w:rsid w:val="002A0312"/>
    <w:rsid w:val="002A305A"/>
    <w:rsid w:val="002B0357"/>
    <w:rsid w:val="002B2ACE"/>
    <w:rsid w:val="002B2CC7"/>
    <w:rsid w:val="002B4A27"/>
    <w:rsid w:val="002B60AA"/>
    <w:rsid w:val="002B6903"/>
    <w:rsid w:val="002D01C2"/>
    <w:rsid w:val="002D14E7"/>
    <w:rsid w:val="002D1758"/>
    <w:rsid w:val="002D5FF5"/>
    <w:rsid w:val="002F0B79"/>
    <w:rsid w:val="002F6666"/>
    <w:rsid w:val="00305A09"/>
    <w:rsid w:val="00310A15"/>
    <w:rsid w:val="0031355D"/>
    <w:rsid w:val="003170C3"/>
    <w:rsid w:val="00317F2F"/>
    <w:rsid w:val="00323C5B"/>
    <w:rsid w:val="003276D3"/>
    <w:rsid w:val="00333B89"/>
    <w:rsid w:val="0035019E"/>
    <w:rsid w:val="003538AD"/>
    <w:rsid w:val="00354121"/>
    <w:rsid w:val="00361E20"/>
    <w:rsid w:val="00364854"/>
    <w:rsid w:val="00372924"/>
    <w:rsid w:val="00374749"/>
    <w:rsid w:val="00375489"/>
    <w:rsid w:val="00393D5C"/>
    <w:rsid w:val="00395D18"/>
    <w:rsid w:val="0039777B"/>
    <w:rsid w:val="003A2DCE"/>
    <w:rsid w:val="003A3D54"/>
    <w:rsid w:val="003B294E"/>
    <w:rsid w:val="003B3DC3"/>
    <w:rsid w:val="003B56B4"/>
    <w:rsid w:val="003B574C"/>
    <w:rsid w:val="003B586B"/>
    <w:rsid w:val="003D57F9"/>
    <w:rsid w:val="003E5B14"/>
    <w:rsid w:val="003E7F57"/>
    <w:rsid w:val="003F2254"/>
    <w:rsid w:val="0040432D"/>
    <w:rsid w:val="00406EDB"/>
    <w:rsid w:val="00406F68"/>
    <w:rsid w:val="00422EA6"/>
    <w:rsid w:val="00423082"/>
    <w:rsid w:val="00423E9F"/>
    <w:rsid w:val="004243D6"/>
    <w:rsid w:val="00433087"/>
    <w:rsid w:val="004463F6"/>
    <w:rsid w:val="00450BE6"/>
    <w:rsid w:val="00453C6B"/>
    <w:rsid w:val="00461911"/>
    <w:rsid w:val="004810FB"/>
    <w:rsid w:val="004813D5"/>
    <w:rsid w:val="00482951"/>
    <w:rsid w:val="004847AC"/>
    <w:rsid w:val="00492274"/>
    <w:rsid w:val="00493C8C"/>
    <w:rsid w:val="004A513C"/>
    <w:rsid w:val="004A638D"/>
    <w:rsid w:val="004B131A"/>
    <w:rsid w:val="004B2E39"/>
    <w:rsid w:val="004B518E"/>
    <w:rsid w:val="004B74EF"/>
    <w:rsid w:val="004C5BD8"/>
    <w:rsid w:val="004D4CD1"/>
    <w:rsid w:val="004D5535"/>
    <w:rsid w:val="004D7706"/>
    <w:rsid w:val="004E1638"/>
    <w:rsid w:val="004E22E4"/>
    <w:rsid w:val="004E28CB"/>
    <w:rsid w:val="004F2CF8"/>
    <w:rsid w:val="004F6E6E"/>
    <w:rsid w:val="00507EF7"/>
    <w:rsid w:val="00531778"/>
    <w:rsid w:val="00533FB6"/>
    <w:rsid w:val="00536F3A"/>
    <w:rsid w:val="0054079B"/>
    <w:rsid w:val="0054084E"/>
    <w:rsid w:val="005420B0"/>
    <w:rsid w:val="00547D8E"/>
    <w:rsid w:val="00547EB3"/>
    <w:rsid w:val="005514C7"/>
    <w:rsid w:val="00561027"/>
    <w:rsid w:val="00562A32"/>
    <w:rsid w:val="00563DCA"/>
    <w:rsid w:val="00564CF4"/>
    <w:rsid w:val="00566B43"/>
    <w:rsid w:val="00570DA3"/>
    <w:rsid w:val="00575261"/>
    <w:rsid w:val="00576556"/>
    <w:rsid w:val="00583CAE"/>
    <w:rsid w:val="005A1F5E"/>
    <w:rsid w:val="005A2AF6"/>
    <w:rsid w:val="005A3346"/>
    <w:rsid w:val="005B057B"/>
    <w:rsid w:val="005E66AC"/>
    <w:rsid w:val="005E6E0F"/>
    <w:rsid w:val="005F121D"/>
    <w:rsid w:val="005F1E65"/>
    <w:rsid w:val="005F3219"/>
    <w:rsid w:val="005F42B7"/>
    <w:rsid w:val="005F4BED"/>
    <w:rsid w:val="00600A81"/>
    <w:rsid w:val="006014AF"/>
    <w:rsid w:val="00606D6F"/>
    <w:rsid w:val="0061091D"/>
    <w:rsid w:val="006134D3"/>
    <w:rsid w:val="006146D8"/>
    <w:rsid w:val="00616E3C"/>
    <w:rsid w:val="00622BBA"/>
    <w:rsid w:val="006230B1"/>
    <w:rsid w:val="006256AD"/>
    <w:rsid w:val="00636662"/>
    <w:rsid w:val="00640780"/>
    <w:rsid w:val="006464E5"/>
    <w:rsid w:val="006537BF"/>
    <w:rsid w:val="006547BB"/>
    <w:rsid w:val="00667290"/>
    <w:rsid w:val="00670845"/>
    <w:rsid w:val="006732A4"/>
    <w:rsid w:val="006802A2"/>
    <w:rsid w:val="00680393"/>
    <w:rsid w:val="00681996"/>
    <w:rsid w:val="00684A95"/>
    <w:rsid w:val="0068780B"/>
    <w:rsid w:val="0069041F"/>
    <w:rsid w:val="006956E1"/>
    <w:rsid w:val="00697500"/>
    <w:rsid w:val="006A01BE"/>
    <w:rsid w:val="006A400F"/>
    <w:rsid w:val="006A5442"/>
    <w:rsid w:val="006B735C"/>
    <w:rsid w:val="006C4C0E"/>
    <w:rsid w:val="006D3A76"/>
    <w:rsid w:val="006D50B9"/>
    <w:rsid w:val="006E0603"/>
    <w:rsid w:val="006E30A9"/>
    <w:rsid w:val="006E740B"/>
    <w:rsid w:val="006E7A8F"/>
    <w:rsid w:val="007014F2"/>
    <w:rsid w:val="0070163E"/>
    <w:rsid w:val="00705BA6"/>
    <w:rsid w:val="007065F7"/>
    <w:rsid w:val="00706BEF"/>
    <w:rsid w:val="0071015B"/>
    <w:rsid w:val="00715E57"/>
    <w:rsid w:val="0071609B"/>
    <w:rsid w:val="00723CF6"/>
    <w:rsid w:val="00724331"/>
    <w:rsid w:val="00726C1D"/>
    <w:rsid w:val="0074051F"/>
    <w:rsid w:val="00742F4E"/>
    <w:rsid w:val="0074589E"/>
    <w:rsid w:val="00754161"/>
    <w:rsid w:val="00754F35"/>
    <w:rsid w:val="00755C89"/>
    <w:rsid w:val="00756EF1"/>
    <w:rsid w:val="00760053"/>
    <w:rsid w:val="007737B0"/>
    <w:rsid w:val="00776E82"/>
    <w:rsid w:val="00777BED"/>
    <w:rsid w:val="00782406"/>
    <w:rsid w:val="00791388"/>
    <w:rsid w:val="00793298"/>
    <w:rsid w:val="00793784"/>
    <w:rsid w:val="00796962"/>
    <w:rsid w:val="007B01AF"/>
    <w:rsid w:val="007C5025"/>
    <w:rsid w:val="007D1B63"/>
    <w:rsid w:val="007D5514"/>
    <w:rsid w:val="007E34CA"/>
    <w:rsid w:val="007F5DC0"/>
    <w:rsid w:val="007F7D8A"/>
    <w:rsid w:val="008072B0"/>
    <w:rsid w:val="00820026"/>
    <w:rsid w:val="008216E2"/>
    <w:rsid w:val="008249D0"/>
    <w:rsid w:val="00826BEC"/>
    <w:rsid w:val="008469B4"/>
    <w:rsid w:val="00852780"/>
    <w:rsid w:val="008542A7"/>
    <w:rsid w:val="00857366"/>
    <w:rsid w:val="00863882"/>
    <w:rsid w:val="00863EB9"/>
    <w:rsid w:val="00866C76"/>
    <w:rsid w:val="0088133D"/>
    <w:rsid w:val="008830EE"/>
    <w:rsid w:val="008861B2"/>
    <w:rsid w:val="00890A55"/>
    <w:rsid w:val="00891086"/>
    <w:rsid w:val="0089731B"/>
    <w:rsid w:val="008A6BDC"/>
    <w:rsid w:val="008B3C42"/>
    <w:rsid w:val="008B45E5"/>
    <w:rsid w:val="008B5C08"/>
    <w:rsid w:val="009002D6"/>
    <w:rsid w:val="00901946"/>
    <w:rsid w:val="009150F5"/>
    <w:rsid w:val="00922BAF"/>
    <w:rsid w:val="009237DC"/>
    <w:rsid w:val="009246BC"/>
    <w:rsid w:val="00947461"/>
    <w:rsid w:val="00947769"/>
    <w:rsid w:val="0095201B"/>
    <w:rsid w:val="00962C44"/>
    <w:rsid w:val="00973296"/>
    <w:rsid w:val="00983880"/>
    <w:rsid w:val="009942D3"/>
    <w:rsid w:val="00997116"/>
    <w:rsid w:val="009978B8"/>
    <w:rsid w:val="009A0065"/>
    <w:rsid w:val="009A3BED"/>
    <w:rsid w:val="009C1C5A"/>
    <w:rsid w:val="009C39E2"/>
    <w:rsid w:val="009D51C7"/>
    <w:rsid w:val="009F7B5D"/>
    <w:rsid w:val="00A02D40"/>
    <w:rsid w:val="00A109D6"/>
    <w:rsid w:val="00A10EAD"/>
    <w:rsid w:val="00A3225B"/>
    <w:rsid w:val="00A3286E"/>
    <w:rsid w:val="00A352AC"/>
    <w:rsid w:val="00A4127D"/>
    <w:rsid w:val="00A42E92"/>
    <w:rsid w:val="00A54CDC"/>
    <w:rsid w:val="00A56899"/>
    <w:rsid w:val="00A571C4"/>
    <w:rsid w:val="00A61D17"/>
    <w:rsid w:val="00A63EC2"/>
    <w:rsid w:val="00A653EC"/>
    <w:rsid w:val="00A66114"/>
    <w:rsid w:val="00A72478"/>
    <w:rsid w:val="00A72D1D"/>
    <w:rsid w:val="00A76107"/>
    <w:rsid w:val="00A82387"/>
    <w:rsid w:val="00A82887"/>
    <w:rsid w:val="00A861BA"/>
    <w:rsid w:val="00AC3B44"/>
    <w:rsid w:val="00AC3BE2"/>
    <w:rsid w:val="00AC57A2"/>
    <w:rsid w:val="00AE6149"/>
    <w:rsid w:val="00AF1B93"/>
    <w:rsid w:val="00AF58A3"/>
    <w:rsid w:val="00B13475"/>
    <w:rsid w:val="00B174F0"/>
    <w:rsid w:val="00B22515"/>
    <w:rsid w:val="00B229D4"/>
    <w:rsid w:val="00B24807"/>
    <w:rsid w:val="00B25BAC"/>
    <w:rsid w:val="00B25D88"/>
    <w:rsid w:val="00B308C1"/>
    <w:rsid w:val="00B403F2"/>
    <w:rsid w:val="00B445DA"/>
    <w:rsid w:val="00B5180B"/>
    <w:rsid w:val="00B52E5F"/>
    <w:rsid w:val="00B53DA7"/>
    <w:rsid w:val="00B5772C"/>
    <w:rsid w:val="00B6139D"/>
    <w:rsid w:val="00B66EFF"/>
    <w:rsid w:val="00B72534"/>
    <w:rsid w:val="00B733F7"/>
    <w:rsid w:val="00B830DA"/>
    <w:rsid w:val="00B86EE1"/>
    <w:rsid w:val="00B92983"/>
    <w:rsid w:val="00B957AC"/>
    <w:rsid w:val="00BA22F9"/>
    <w:rsid w:val="00BB2790"/>
    <w:rsid w:val="00BB6C96"/>
    <w:rsid w:val="00BB729F"/>
    <w:rsid w:val="00BC505F"/>
    <w:rsid w:val="00BD0F47"/>
    <w:rsid w:val="00BD67C8"/>
    <w:rsid w:val="00BE0905"/>
    <w:rsid w:val="00BE2504"/>
    <w:rsid w:val="00BE2775"/>
    <w:rsid w:val="00C0257F"/>
    <w:rsid w:val="00C02AF5"/>
    <w:rsid w:val="00C030DD"/>
    <w:rsid w:val="00C03F44"/>
    <w:rsid w:val="00C0545B"/>
    <w:rsid w:val="00C20956"/>
    <w:rsid w:val="00C20C06"/>
    <w:rsid w:val="00C26C72"/>
    <w:rsid w:val="00C308E9"/>
    <w:rsid w:val="00C33A8B"/>
    <w:rsid w:val="00C356AC"/>
    <w:rsid w:val="00C3599D"/>
    <w:rsid w:val="00C364C2"/>
    <w:rsid w:val="00C37FBA"/>
    <w:rsid w:val="00C40CFB"/>
    <w:rsid w:val="00C52AA3"/>
    <w:rsid w:val="00C7073E"/>
    <w:rsid w:val="00C71921"/>
    <w:rsid w:val="00C71A74"/>
    <w:rsid w:val="00C825BD"/>
    <w:rsid w:val="00C94BE9"/>
    <w:rsid w:val="00C95327"/>
    <w:rsid w:val="00C96B72"/>
    <w:rsid w:val="00C97272"/>
    <w:rsid w:val="00CA4AD1"/>
    <w:rsid w:val="00CA6C1E"/>
    <w:rsid w:val="00CA789F"/>
    <w:rsid w:val="00CA7C25"/>
    <w:rsid w:val="00CB319F"/>
    <w:rsid w:val="00CB34DE"/>
    <w:rsid w:val="00CB45E2"/>
    <w:rsid w:val="00CB7FBC"/>
    <w:rsid w:val="00CD5998"/>
    <w:rsid w:val="00CE0917"/>
    <w:rsid w:val="00CE1AD0"/>
    <w:rsid w:val="00CE67D5"/>
    <w:rsid w:val="00CF2691"/>
    <w:rsid w:val="00D02202"/>
    <w:rsid w:val="00D024ED"/>
    <w:rsid w:val="00D04F6B"/>
    <w:rsid w:val="00D24529"/>
    <w:rsid w:val="00D3638B"/>
    <w:rsid w:val="00D37610"/>
    <w:rsid w:val="00D37EAF"/>
    <w:rsid w:val="00D4632E"/>
    <w:rsid w:val="00D61732"/>
    <w:rsid w:val="00D711DC"/>
    <w:rsid w:val="00D8450E"/>
    <w:rsid w:val="00D972D5"/>
    <w:rsid w:val="00DA73E7"/>
    <w:rsid w:val="00DB1313"/>
    <w:rsid w:val="00DB29DD"/>
    <w:rsid w:val="00DB310C"/>
    <w:rsid w:val="00DB3F47"/>
    <w:rsid w:val="00DB70E4"/>
    <w:rsid w:val="00DD20FF"/>
    <w:rsid w:val="00DE236D"/>
    <w:rsid w:val="00DE2F82"/>
    <w:rsid w:val="00DF27F8"/>
    <w:rsid w:val="00DF634A"/>
    <w:rsid w:val="00DF7B35"/>
    <w:rsid w:val="00E12359"/>
    <w:rsid w:val="00E1714D"/>
    <w:rsid w:val="00E24838"/>
    <w:rsid w:val="00E2636F"/>
    <w:rsid w:val="00E30BC9"/>
    <w:rsid w:val="00E50B3C"/>
    <w:rsid w:val="00E54386"/>
    <w:rsid w:val="00E5646E"/>
    <w:rsid w:val="00E70237"/>
    <w:rsid w:val="00E723B1"/>
    <w:rsid w:val="00E725F9"/>
    <w:rsid w:val="00E74A09"/>
    <w:rsid w:val="00E80321"/>
    <w:rsid w:val="00E86A04"/>
    <w:rsid w:val="00E86E42"/>
    <w:rsid w:val="00E878C4"/>
    <w:rsid w:val="00E9154E"/>
    <w:rsid w:val="00E92751"/>
    <w:rsid w:val="00E938CF"/>
    <w:rsid w:val="00EA4E57"/>
    <w:rsid w:val="00EA6570"/>
    <w:rsid w:val="00EB4A52"/>
    <w:rsid w:val="00EC7868"/>
    <w:rsid w:val="00ED1283"/>
    <w:rsid w:val="00EE068E"/>
    <w:rsid w:val="00EF0290"/>
    <w:rsid w:val="00EF0752"/>
    <w:rsid w:val="00EF0E5C"/>
    <w:rsid w:val="00F00F44"/>
    <w:rsid w:val="00F0254C"/>
    <w:rsid w:val="00F1088F"/>
    <w:rsid w:val="00F17C94"/>
    <w:rsid w:val="00F20DF2"/>
    <w:rsid w:val="00F32790"/>
    <w:rsid w:val="00F5574A"/>
    <w:rsid w:val="00F668C9"/>
    <w:rsid w:val="00F66B39"/>
    <w:rsid w:val="00F746DB"/>
    <w:rsid w:val="00F776DC"/>
    <w:rsid w:val="00F77948"/>
    <w:rsid w:val="00FA1600"/>
    <w:rsid w:val="00FB427B"/>
    <w:rsid w:val="00FC1A5B"/>
    <w:rsid w:val="00FC3FFA"/>
    <w:rsid w:val="00FC723E"/>
    <w:rsid w:val="00FC7AB1"/>
    <w:rsid w:val="00FD0EB2"/>
    <w:rsid w:val="00FD4DC4"/>
    <w:rsid w:val="00FE0FD8"/>
    <w:rsid w:val="00FE4B89"/>
    <w:rsid w:val="00FE6311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F3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36F3A"/>
    <w:pPr>
      <w:keepNext/>
      <w:outlineLvl w:val="0"/>
    </w:pPr>
    <w:rPr>
      <w:b/>
      <w:sz w:val="32"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rsid w:val="002B4A27"/>
    <w:rPr>
      <w:rFonts w:cs="Times New Roman"/>
      <w:color w:val="0000FF"/>
      <w:u w:val="single"/>
    </w:rPr>
  </w:style>
  <w:style w:type="paragraph" w:styleId="Sidehoved">
    <w:name w:val="header"/>
    <w:basedOn w:val="Normal"/>
    <w:rsid w:val="00536F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36F3A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536F3A"/>
    <w:rPr>
      <w:szCs w:val="20"/>
    </w:rPr>
  </w:style>
  <w:style w:type="paragraph" w:styleId="Brdtekst2">
    <w:name w:val="Body Text 2"/>
    <w:basedOn w:val="Normal"/>
    <w:rsid w:val="00536F3A"/>
    <w:rPr>
      <w:b/>
      <w:szCs w:val="20"/>
    </w:rPr>
  </w:style>
  <w:style w:type="paragraph" w:styleId="Brdtekst3">
    <w:name w:val="Body Text 3"/>
    <w:basedOn w:val="Normal"/>
    <w:rsid w:val="00536F3A"/>
    <w:rPr>
      <w:sz w:val="16"/>
      <w:szCs w:val="20"/>
    </w:rPr>
  </w:style>
  <w:style w:type="paragraph" w:styleId="Markeringsbobletekst">
    <w:name w:val="Balloon Text"/>
    <w:basedOn w:val="Normal"/>
    <w:semiHidden/>
    <w:rsid w:val="00536F3A"/>
    <w:rPr>
      <w:rFonts w:ascii="Tahoma" w:hAnsi="Tahoma" w:cs="Tahoma"/>
      <w:sz w:val="16"/>
      <w:szCs w:val="16"/>
    </w:rPr>
  </w:style>
  <w:style w:type="character" w:customStyle="1" w:styleId="BrdtekstTegn">
    <w:name w:val="Brødtekst Tegn"/>
    <w:basedOn w:val="Standardskrifttypeiafsnit"/>
    <w:rsid w:val="00536F3A"/>
    <w:rPr>
      <w:sz w:val="24"/>
      <w:lang w:val="da-DK" w:eastAsia="da-DK" w:bidi="ar-SA"/>
    </w:rPr>
  </w:style>
  <w:style w:type="character" w:styleId="Kraftig">
    <w:name w:val="Strong"/>
    <w:basedOn w:val="Standardskrifttypeiafsnit"/>
    <w:uiPriority w:val="22"/>
    <w:qFormat/>
    <w:rsid w:val="002B4A27"/>
    <w:rPr>
      <w:b/>
      <w:bCs/>
    </w:rPr>
  </w:style>
  <w:style w:type="paragraph" w:styleId="Kommentartekst">
    <w:name w:val="annotation text"/>
    <w:basedOn w:val="Normal"/>
    <w:link w:val="KommentartekstTegn"/>
    <w:uiPriority w:val="99"/>
    <w:unhideWhenUsed/>
    <w:rsid w:val="0031355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1355D"/>
  </w:style>
  <w:style w:type="paragraph" w:styleId="Listeafsnit">
    <w:name w:val="List Paragraph"/>
    <w:basedOn w:val="Normal"/>
    <w:uiPriority w:val="34"/>
    <w:qFormat/>
    <w:rsid w:val="00C40CF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670845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F3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36F3A"/>
    <w:pPr>
      <w:keepNext/>
      <w:outlineLvl w:val="0"/>
    </w:pPr>
    <w:rPr>
      <w:b/>
      <w:sz w:val="32"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rsid w:val="002B4A27"/>
    <w:rPr>
      <w:rFonts w:cs="Times New Roman"/>
      <w:color w:val="0000FF"/>
      <w:u w:val="single"/>
    </w:rPr>
  </w:style>
  <w:style w:type="paragraph" w:styleId="Sidehoved">
    <w:name w:val="header"/>
    <w:basedOn w:val="Normal"/>
    <w:rsid w:val="00536F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36F3A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536F3A"/>
    <w:rPr>
      <w:szCs w:val="20"/>
    </w:rPr>
  </w:style>
  <w:style w:type="paragraph" w:styleId="Brdtekst2">
    <w:name w:val="Body Text 2"/>
    <w:basedOn w:val="Normal"/>
    <w:rsid w:val="00536F3A"/>
    <w:rPr>
      <w:b/>
      <w:szCs w:val="20"/>
    </w:rPr>
  </w:style>
  <w:style w:type="paragraph" w:styleId="Brdtekst3">
    <w:name w:val="Body Text 3"/>
    <w:basedOn w:val="Normal"/>
    <w:rsid w:val="00536F3A"/>
    <w:rPr>
      <w:sz w:val="16"/>
      <w:szCs w:val="20"/>
    </w:rPr>
  </w:style>
  <w:style w:type="paragraph" w:styleId="Markeringsbobletekst">
    <w:name w:val="Balloon Text"/>
    <w:basedOn w:val="Normal"/>
    <w:semiHidden/>
    <w:rsid w:val="00536F3A"/>
    <w:rPr>
      <w:rFonts w:ascii="Tahoma" w:hAnsi="Tahoma" w:cs="Tahoma"/>
      <w:sz w:val="16"/>
      <w:szCs w:val="16"/>
    </w:rPr>
  </w:style>
  <w:style w:type="character" w:customStyle="1" w:styleId="BrdtekstTegn">
    <w:name w:val="Brødtekst Tegn"/>
    <w:basedOn w:val="Standardskrifttypeiafsnit"/>
    <w:rsid w:val="00536F3A"/>
    <w:rPr>
      <w:sz w:val="24"/>
      <w:lang w:val="da-DK" w:eastAsia="da-DK" w:bidi="ar-SA"/>
    </w:rPr>
  </w:style>
  <w:style w:type="character" w:styleId="Kraftig">
    <w:name w:val="Strong"/>
    <w:basedOn w:val="Standardskrifttypeiafsnit"/>
    <w:uiPriority w:val="22"/>
    <w:qFormat/>
    <w:rsid w:val="002B4A27"/>
    <w:rPr>
      <w:b/>
      <w:bCs/>
    </w:rPr>
  </w:style>
  <w:style w:type="paragraph" w:styleId="Kommentartekst">
    <w:name w:val="annotation text"/>
    <w:basedOn w:val="Normal"/>
    <w:link w:val="KommentartekstTegn"/>
    <w:uiPriority w:val="99"/>
    <w:unhideWhenUsed/>
    <w:rsid w:val="0031355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1355D"/>
  </w:style>
  <w:style w:type="paragraph" w:styleId="Listeafsnit">
    <w:name w:val="List Paragraph"/>
    <w:basedOn w:val="Normal"/>
    <w:uiPriority w:val="34"/>
    <w:qFormat/>
    <w:rsid w:val="00C40CF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670845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3323368211261"/>
          <c:y val="0.0611597813007959"/>
          <c:w val="0.837461933307987"/>
          <c:h val="0.790992801503029"/>
        </c:manualLayout>
      </c:layout>
      <c:lineChart>
        <c:grouping val="standard"/>
        <c:varyColors val="0"/>
        <c:ser>
          <c:idx val="0"/>
          <c:order val="0"/>
          <c:tx>
            <c:strRef>
              <c:f>Graf!$A$15</c:f>
              <c:strCache>
                <c:ptCount val="1"/>
                <c:pt idx="0">
                  <c:v>1 Mdr</c:v>
                </c:pt>
              </c:strCache>
            </c:strRef>
          </c:tx>
          <c:spPr>
            <a:ln w="25400">
              <a:solidFill>
                <a:srgbClr val="ED1951"/>
              </a:solidFill>
              <a:prstDash val="solid"/>
            </a:ln>
          </c:spPr>
          <c:marker>
            <c:symbol val="none"/>
          </c:marker>
          <c:cat>
            <c:multiLvlStrRef>
              <c:f>Graf!$DG$14:$EE$15</c:f>
              <c:multiLvlStrCache>
                <c:ptCount val="25"/>
                <c:lvl>
                  <c:pt idx="0">
                    <c:v>491</c:v>
                  </c:pt>
                  <c:pt idx="1">
                    <c:v>483</c:v>
                  </c:pt>
                  <c:pt idx="2">
                    <c:v>327</c:v>
                  </c:pt>
                  <c:pt idx="3">
                    <c:v>456</c:v>
                  </c:pt>
                  <c:pt idx="4">
                    <c:v>432</c:v>
                  </c:pt>
                  <c:pt idx="5">
                    <c:v>368</c:v>
                  </c:pt>
                  <c:pt idx="6">
                    <c:v>337</c:v>
                  </c:pt>
                  <c:pt idx="7">
                    <c:v>383</c:v>
                  </c:pt>
                  <c:pt idx="8">
                    <c:v>538</c:v>
                  </c:pt>
                  <c:pt idx="9">
                    <c:v>612</c:v>
                  </c:pt>
                  <c:pt idx="10">
                    <c:v>365</c:v>
                  </c:pt>
                  <c:pt idx="11">
                    <c:v>422</c:v>
                  </c:pt>
                  <c:pt idx="12">
                    <c:v>249</c:v>
                  </c:pt>
                  <c:pt idx="13">
                    <c:v>339</c:v>
                  </c:pt>
                  <c:pt idx="14">
                    <c:v>292</c:v>
                  </c:pt>
                  <c:pt idx="15">
                    <c:v>370</c:v>
                  </c:pt>
                  <c:pt idx="16">
                    <c:v>239</c:v>
                  </c:pt>
                  <c:pt idx="17">
                    <c:v>281</c:v>
                  </c:pt>
                  <c:pt idx="18">
                    <c:v>189</c:v>
                  </c:pt>
                  <c:pt idx="19">
                    <c:v>337</c:v>
                  </c:pt>
                  <c:pt idx="20">
                    <c:v>504</c:v>
                  </c:pt>
                  <c:pt idx="21">
                    <c:v>607</c:v>
                  </c:pt>
                  <c:pt idx="22">
                    <c:v>360</c:v>
                  </c:pt>
                  <c:pt idx="23">
                    <c:v>356</c:v>
                  </c:pt>
                  <c:pt idx="24">
                    <c:v>300</c:v>
                  </c:pt>
                </c:lvl>
                <c:lvl>
                  <c:pt idx="0">
                    <c:v>feb 13</c:v>
                  </c:pt>
                  <c:pt idx="1">
                    <c:v>mar 13</c:v>
                  </c:pt>
                  <c:pt idx="2">
                    <c:v>apr 13</c:v>
                  </c:pt>
                  <c:pt idx="3">
                    <c:v>maj 13</c:v>
                  </c:pt>
                  <c:pt idx="4">
                    <c:v>jun 13</c:v>
                  </c:pt>
                  <c:pt idx="5">
                    <c:v>jul 13</c:v>
                  </c:pt>
                  <c:pt idx="6">
                    <c:v>aug 13</c:v>
                  </c:pt>
                  <c:pt idx="7">
                    <c:v>sep 13</c:v>
                  </c:pt>
                  <c:pt idx="8">
                    <c:v>okt 13</c:v>
                  </c:pt>
                  <c:pt idx="9">
                    <c:v>nov 13</c:v>
                  </c:pt>
                  <c:pt idx="10">
                    <c:v>dec 13</c:v>
                  </c:pt>
                  <c:pt idx="11">
                    <c:v>jan 14</c:v>
                  </c:pt>
                  <c:pt idx="12">
                    <c:v>feb 14</c:v>
                  </c:pt>
                  <c:pt idx="13">
                    <c:v>mar 14</c:v>
                  </c:pt>
                  <c:pt idx="14">
                    <c:v>apr 14</c:v>
                  </c:pt>
                  <c:pt idx="15">
                    <c:v>maj 14</c:v>
                  </c:pt>
                  <c:pt idx="16">
                    <c:v>jun 14</c:v>
                  </c:pt>
                  <c:pt idx="17">
                    <c:v>jul 14</c:v>
                  </c:pt>
                  <c:pt idx="18">
                    <c:v>aug 14</c:v>
                  </c:pt>
                  <c:pt idx="19">
                    <c:v>sep 14</c:v>
                  </c:pt>
                  <c:pt idx="20">
                    <c:v>okt 14</c:v>
                  </c:pt>
                  <c:pt idx="21">
                    <c:v>nov 14</c:v>
                  </c:pt>
                  <c:pt idx="22">
                    <c:v>dec 14</c:v>
                  </c:pt>
                  <c:pt idx="23">
                    <c:v>jan 15</c:v>
                  </c:pt>
                  <c:pt idx="24">
                    <c:v>feb 15</c:v>
                  </c:pt>
                </c:lvl>
              </c:multiLvlStrCache>
            </c:multiLvlStrRef>
          </c:cat>
          <c:val>
            <c:numRef>
              <c:f>Graf!$DG$15:$EE$15</c:f>
              <c:numCache>
                <c:formatCode>General</c:formatCode>
                <c:ptCount val="25"/>
                <c:pt idx="0">
                  <c:v>491.0</c:v>
                </c:pt>
                <c:pt idx="1">
                  <c:v>483.0</c:v>
                </c:pt>
                <c:pt idx="2">
                  <c:v>327.0</c:v>
                </c:pt>
                <c:pt idx="3">
                  <c:v>456.0</c:v>
                </c:pt>
                <c:pt idx="4">
                  <c:v>432.0</c:v>
                </c:pt>
                <c:pt idx="5">
                  <c:v>368.0</c:v>
                </c:pt>
                <c:pt idx="6">
                  <c:v>337.0</c:v>
                </c:pt>
                <c:pt idx="7">
                  <c:v>383.0</c:v>
                </c:pt>
                <c:pt idx="8">
                  <c:v>538.0</c:v>
                </c:pt>
                <c:pt idx="9">
                  <c:v>612.0</c:v>
                </c:pt>
                <c:pt idx="10">
                  <c:v>365.0</c:v>
                </c:pt>
                <c:pt idx="11">
                  <c:v>422.0</c:v>
                </c:pt>
                <c:pt idx="12">
                  <c:v>249.0</c:v>
                </c:pt>
                <c:pt idx="13">
                  <c:v>339.0</c:v>
                </c:pt>
                <c:pt idx="14">
                  <c:v>292.0</c:v>
                </c:pt>
                <c:pt idx="15">
                  <c:v>370.0</c:v>
                </c:pt>
                <c:pt idx="16">
                  <c:v>239.0</c:v>
                </c:pt>
                <c:pt idx="17">
                  <c:v>281.0</c:v>
                </c:pt>
                <c:pt idx="18">
                  <c:v>189.0</c:v>
                </c:pt>
                <c:pt idx="19">
                  <c:v>337.0</c:v>
                </c:pt>
                <c:pt idx="20">
                  <c:v>504.0</c:v>
                </c:pt>
                <c:pt idx="21">
                  <c:v>607.0</c:v>
                </c:pt>
                <c:pt idx="22">
                  <c:v>360.0</c:v>
                </c:pt>
                <c:pt idx="23">
                  <c:v>356.0</c:v>
                </c:pt>
                <c:pt idx="24">
                  <c:v>300.0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Graf!$A$18</c:f>
              <c:strCache>
                <c:ptCount val="1"/>
                <c:pt idx="0">
                  <c:v>12 Mdr. gnst.</c:v>
                </c:pt>
              </c:strCache>
            </c:strRef>
          </c:tx>
          <c:spPr>
            <a:ln w="25400">
              <a:solidFill>
                <a:srgbClr val="387C2C"/>
              </a:solidFill>
              <a:prstDash val="solid"/>
            </a:ln>
          </c:spPr>
          <c:marker>
            <c:symbol val="none"/>
          </c:marker>
          <c:cat>
            <c:multiLvlStrRef>
              <c:f>Graf!$DG$14:$EE$15</c:f>
              <c:multiLvlStrCache>
                <c:ptCount val="25"/>
                <c:lvl>
                  <c:pt idx="0">
                    <c:v>491</c:v>
                  </c:pt>
                  <c:pt idx="1">
                    <c:v>483</c:v>
                  </c:pt>
                  <c:pt idx="2">
                    <c:v>327</c:v>
                  </c:pt>
                  <c:pt idx="3">
                    <c:v>456</c:v>
                  </c:pt>
                  <c:pt idx="4">
                    <c:v>432</c:v>
                  </c:pt>
                  <c:pt idx="5">
                    <c:v>368</c:v>
                  </c:pt>
                  <c:pt idx="6">
                    <c:v>337</c:v>
                  </c:pt>
                  <c:pt idx="7">
                    <c:v>383</c:v>
                  </c:pt>
                  <c:pt idx="8">
                    <c:v>538</c:v>
                  </c:pt>
                  <c:pt idx="9">
                    <c:v>612</c:v>
                  </c:pt>
                  <c:pt idx="10">
                    <c:v>365</c:v>
                  </c:pt>
                  <c:pt idx="11">
                    <c:v>422</c:v>
                  </c:pt>
                  <c:pt idx="12">
                    <c:v>249</c:v>
                  </c:pt>
                  <c:pt idx="13">
                    <c:v>339</c:v>
                  </c:pt>
                  <c:pt idx="14">
                    <c:v>292</c:v>
                  </c:pt>
                  <c:pt idx="15">
                    <c:v>370</c:v>
                  </c:pt>
                  <c:pt idx="16">
                    <c:v>239</c:v>
                  </c:pt>
                  <c:pt idx="17">
                    <c:v>281</c:v>
                  </c:pt>
                  <c:pt idx="18">
                    <c:v>189</c:v>
                  </c:pt>
                  <c:pt idx="19">
                    <c:v>337</c:v>
                  </c:pt>
                  <c:pt idx="20">
                    <c:v>504</c:v>
                  </c:pt>
                  <c:pt idx="21">
                    <c:v>607</c:v>
                  </c:pt>
                  <c:pt idx="22">
                    <c:v>360</c:v>
                  </c:pt>
                  <c:pt idx="23">
                    <c:v>356</c:v>
                  </c:pt>
                  <c:pt idx="24">
                    <c:v>300</c:v>
                  </c:pt>
                </c:lvl>
                <c:lvl>
                  <c:pt idx="0">
                    <c:v>feb 13</c:v>
                  </c:pt>
                  <c:pt idx="1">
                    <c:v>mar 13</c:v>
                  </c:pt>
                  <c:pt idx="2">
                    <c:v>apr 13</c:v>
                  </c:pt>
                  <c:pt idx="3">
                    <c:v>maj 13</c:v>
                  </c:pt>
                  <c:pt idx="4">
                    <c:v>jun 13</c:v>
                  </c:pt>
                  <c:pt idx="5">
                    <c:v>jul 13</c:v>
                  </c:pt>
                  <c:pt idx="6">
                    <c:v>aug 13</c:v>
                  </c:pt>
                  <c:pt idx="7">
                    <c:v>sep 13</c:v>
                  </c:pt>
                  <c:pt idx="8">
                    <c:v>okt 13</c:v>
                  </c:pt>
                  <c:pt idx="9">
                    <c:v>nov 13</c:v>
                  </c:pt>
                  <c:pt idx="10">
                    <c:v>dec 13</c:v>
                  </c:pt>
                  <c:pt idx="11">
                    <c:v>jan 14</c:v>
                  </c:pt>
                  <c:pt idx="12">
                    <c:v>feb 14</c:v>
                  </c:pt>
                  <c:pt idx="13">
                    <c:v>mar 14</c:v>
                  </c:pt>
                  <c:pt idx="14">
                    <c:v>apr 14</c:v>
                  </c:pt>
                  <c:pt idx="15">
                    <c:v>maj 14</c:v>
                  </c:pt>
                  <c:pt idx="16">
                    <c:v>jun 14</c:v>
                  </c:pt>
                  <c:pt idx="17">
                    <c:v>jul 14</c:v>
                  </c:pt>
                  <c:pt idx="18">
                    <c:v>aug 14</c:v>
                  </c:pt>
                  <c:pt idx="19">
                    <c:v>sep 14</c:v>
                  </c:pt>
                  <c:pt idx="20">
                    <c:v>okt 14</c:v>
                  </c:pt>
                  <c:pt idx="21">
                    <c:v>nov 14</c:v>
                  </c:pt>
                  <c:pt idx="22">
                    <c:v>dec 14</c:v>
                  </c:pt>
                  <c:pt idx="23">
                    <c:v>jan 15</c:v>
                  </c:pt>
                  <c:pt idx="24">
                    <c:v>feb 15</c:v>
                  </c:pt>
                </c:lvl>
              </c:multiLvlStrCache>
            </c:multiLvlStrRef>
          </c:cat>
          <c:val>
            <c:numRef>
              <c:f>Graf!$DG$18:$EE$18</c:f>
              <c:numCache>
                <c:formatCode>0</c:formatCode>
                <c:ptCount val="25"/>
                <c:pt idx="0">
                  <c:v>467.1666666666668</c:v>
                </c:pt>
                <c:pt idx="1">
                  <c:v>469.0833333333333</c:v>
                </c:pt>
                <c:pt idx="2">
                  <c:v>466.5833333333333</c:v>
                </c:pt>
                <c:pt idx="3">
                  <c:v>467.3333333333333</c:v>
                </c:pt>
                <c:pt idx="4">
                  <c:v>463.1666666666668</c:v>
                </c:pt>
                <c:pt idx="5">
                  <c:v>459.4166666666667</c:v>
                </c:pt>
                <c:pt idx="6">
                  <c:v>454.25</c:v>
                </c:pt>
                <c:pt idx="7">
                  <c:v>451.0833333333333</c:v>
                </c:pt>
                <c:pt idx="8">
                  <c:v>452.9166666666667</c:v>
                </c:pt>
                <c:pt idx="9">
                  <c:v>455.1666666666668</c:v>
                </c:pt>
                <c:pt idx="10">
                  <c:v>433.0833333333333</c:v>
                </c:pt>
                <c:pt idx="11">
                  <c:v>434.5</c:v>
                </c:pt>
                <c:pt idx="12">
                  <c:v>414.3333333333333</c:v>
                </c:pt>
                <c:pt idx="13">
                  <c:v>402.3333333333333</c:v>
                </c:pt>
                <c:pt idx="14">
                  <c:v>399.4166666666667</c:v>
                </c:pt>
                <c:pt idx="15">
                  <c:v>392.25</c:v>
                </c:pt>
                <c:pt idx="16">
                  <c:v>376.1666666666668</c:v>
                </c:pt>
                <c:pt idx="17">
                  <c:v>368.9166666666667</c:v>
                </c:pt>
                <c:pt idx="18">
                  <c:v>356.5833333333333</c:v>
                </c:pt>
                <c:pt idx="19">
                  <c:v>352.75</c:v>
                </c:pt>
                <c:pt idx="20">
                  <c:v>349.9166666666667</c:v>
                </c:pt>
                <c:pt idx="21">
                  <c:v>349.5</c:v>
                </c:pt>
                <c:pt idx="22">
                  <c:v>349.0833333333333</c:v>
                </c:pt>
                <c:pt idx="23">
                  <c:v>343.5833333333333</c:v>
                </c:pt>
                <c:pt idx="24">
                  <c:v>347.8333333333333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2423704"/>
        <c:axId val="942427016"/>
      </c:lineChart>
      <c:catAx>
        <c:axId val="942423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  <c:crossAx val="942427016"/>
        <c:crossesAt val="0.0"/>
        <c:auto val="1"/>
        <c:lblAlgn val="ctr"/>
        <c:lblOffset val="100"/>
        <c:tickMarkSkip val="1"/>
        <c:noMultiLvlLbl val="0"/>
      </c:catAx>
      <c:valAx>
        <c:axId val="942427016"/>
        <c:scaling>
          <c:orientation val="minMax"/>
          <c:max val="700.0"/>
          <c:min val="180.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da-DK"/>
                  <a:t>Antal konkurser</a:t>
                </a:r>
              </a:p>
            </c:rich>
          </c:tx>
          <c:layout>
            <c:manualLayout>
              <c:xMode val="edge"/>
              <c:yMode val="edge"/>
              <c:x val="0.00773998664368137"/>
              <c:y val="0.23342945402602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  <c:crossAx val="942423704"/>
        <c:crosses val="autoZero"/>
        <c:crossBetween val="between"/>
        <c:majorUnit val="30.0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</c:dTable>
      <c:spPr>
        <a:solidFill>
          <a:schemeClr val="accent3">
            <a:lumMod val="40000"/>
            <a:lumOff val="60000"/>
          </a:schemeClr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da-D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ontor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ontor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ontor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BC9C-4B5D-B548-B531-82DB27F7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1348</Words>
  <Characters>8227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September 2005</vt:lpstr>
    </vt:vector>
  </TitlesOfParts>
  <Company>KOB A/S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2005</dc:title>
  <dc:creator>Thomas Horn</dc:creator>
  <cp:lastModifiedBy>Mette Andersen</cp:lastModifiedBy>
  <cp:revision>2</cp:revision>
  <cp:lastPrinted>2015-02-28T22:00:00Z</cp:lastPrinted>
  <dcterms:created xsi:type="dcterms:W3CDTF">2015-02-28T23:21:00Z</dcterms:created>
  <dcterms:modified xsi:type="dcterms:W3CDTF">2015-02-28T23:21:00Z</dcterms:modified>
</cp:coreProperties>
</file>