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D7" w:rsidRPr="002E4345" w:rsidRDefault="00EC2018">
      <w:pPr>
        <w:rPr>
          <w:rFonts w:ascii="Verdana" w:hAnsi="Verdana" w:cs="Arial"/>
          <w:b/>
          <w:sz w:val="28"/>
        </w:rPr>
      </w:pPr>
      <w:r w:rsidRPr="002E4345">
        <w:rPr>
          <w:rFonts w:ascii="Verdana" w:hAnsi="Verdana" w:cs="Arial"/>
          <w:b/>
          <w:sz w:val="28"/>
        </w:rPr>
        <w:t>N</w:t>
      </w:r>
      <w:r w:rsidR="00BE53AB" w:rsidRPr="002E4345">
        <w:rPr>
          <w:rFonts w:ascii="Verdana" w:hAnsi="Verdana" w:cs="Arial"/>
          <w:b/>
          <w:sz w:val="28"/>
        </w:rPr>
        <w:t>RGi leverer rekord-resultat</w:t>
      </w:r>
      <w:r w:rsidRPr="002E4345">
        <w:rPr>
          <w:rFonts w:ascii="Verdana" w:hAnsi="Verdana" w:cs="Arial"/>
          <w:b/>
          <w:sz w:val="28"/>
        </w:rPr>
        <w:t xml:space="preserve"> for 2016</w:t>
      </w:r>
    </w:p>
    <w:p w:rsidR="003833F0" w:rsidRDefault="003833F0">
      <w:pPr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Det østjyske energiselskab med hovedsæde i Aarhus kommer ud af 2016 med en </w:t>
      </w:r>
      <w:r w:rsidRPr="002E4345">
        <w:rPr>
          <w:rFonts w:ascii="Verdana" w:hAnsi="Verdana" w:cs="Arial"/>
          <w:b/>
          <w:sz w:val="20"/>
        </w:rPr>
        <w:t xml:space="preserve">rekordstor indtjening på </w:t>
      </w:r>
      <w:r>
        <w:rPr>
          <w:rFonts w:ascii="Verdana" w:hAnsi="Verdana" w:cs="Arial"/>
          <w:b/>
          <w:sz w:val="20"/>
        </w:rPr>
        <w:t>228</w:t>
      </w:r>
      <w:r w:rsidRPr="002E4345">
        <w:rPr>
          <w:rFonts w:ascii="Verdana" w:hAnsi="Verdana" w:cs="Arial"/>
          <w:b/>
          <w:sz w:val="20"/>
        </w:rPr>
        <w:t xml:space="preserve"> mio</w:t>
      </w:r>
      <w:r>
        <w:rPr>
          <w:rFonts w:ascii="Verdana" w:hAnsi="Verdana" w:cs="Arial"/>
          <w:b/>
          <w:sz w:val="20"/>
        </w:rPr>
        <w:t>. kroner</w:t>
      </w:r>
      <w:r w:rsidRPr="002E4345">
        <w:rPr>
          <w:rFonts w:ascii="Verdana" w:hAnsi="Verdana" w:cs="Arial"/>
          <w:b/>
          <w:sz w:val="20"/>
        </w:rPr>
        <w:t xml:space="preserve"> </w:t>
      </w:r>
      <w:r w:rsidR="00A006F9">
        <w:rPr>
          <w:rFonts w:ascii="Verdana" w:hAnsi="Verdana" w:cs="Arial"/>
          <w:b/>
          <w:sz w:val="20"/>
        </w:rPr>
        <w:t xml:space="preserve">efter skat </w:t>
      </w:r>
      <w:r w:rsidRPr="002E4345">
        <w:rPr>
          <w:rFonts w:ascii="Verdana" w:hAnsi="Verdana" w:cs="Arial"/>
          <w:b/>
          <w:sz w:val="20"/>
        </w:rPr>
        <w:t>og</w:t>
      </w:r>
      <w:r>
        <w:rPr>
          <w:rFonts w:ascii="Verdana" w:hAnsi="Verdana" w:cs="Arial"/>
          <w:b/>
          <w:sz w:val="20"/>
        </w:rPr>
        <w:t xml:space="preserve"> et</w:t>
      </w:r>
      <w:r w:rsidRPr="002E4345">
        <w:rPr>
          <w:rFonts w:ascii="Verdana" w:hAnsi="Verdana" w:cs="Arial"/>
          <w:b/>
          <w:sz w:val="20"/>
        </w:rPr>
        <w:t xml:space="preserve"> res</w:t>
      </w:r>
      <w:r>
        <w:rPr>
          <w:rFonts w:ascii="Verdana" w:hAnsi="Verdana" w:cs="Arial"/>
          <w:b/>
          <w:sz w:val="20"/>
        </w:rPr>
        <w:t xml:space="preserve">ultat af den primære drift på </w:t>
      </w:r>
      <w:r w:rsidRPr="002E4345">
        <w:rPr>
          <w:rFonts w:ascii="Verdana" w:hAnsi="Verdana" w:cs="Arial"/>
          <w:b/>
          <w:sz w:val="20"/>
        </w:rPr>
        <w:t>108 mio. kr. Det bedste result</w:t>
      </w:r>
      <w:r>
        <w:rPr>
          <w:rFonts w:ascii="Verdana" w:hAnsi="Verdana" w:cs="Arial"/>
          <w:b/>
          <w:sz w:val="20"/>
        </w:rPr>
        <w:t>at siden fusionen i 2008</w:t>
      </w:r>
      <w:r w:rsidRPr="002E4345">
        <w:rPr>
          <w:rFonts w:ascii="Verdana" w:hAnsi="Verdana" w:cs="Arial"/>
          <w:b/>
          <w:sz w:val="20"/>
        </w:rPr>
        <w:t>.</w:t>
      </w:r>
    </w:p>
    <w:p w:rsidR="002F447C" w:rsidRPr="00DD6599" w:rsidRDefault="00F97473">
      <w:pPr>
        <w:rPr>
          <w:rFonts w:ascii="Verdana" w:hAnsi="Verdana" w:cs="Arial"/>
          <w:sz w:val="20"/>
          <w:szCs w:val="20"/>
        </w:rPr>
      </w:pPr>
      <w:r w:rsidRPr="00DD6599">
        <w:rPr>
          <w:rFonts w:ascii="Verdana" w:hAnsi="Verdana" w:cs="Arial"/>
          <w:sz w:val="20"/>
          <w:szCs w:val="20"/>
        </w:rPr>
        <w:t xml:space="preserve">Det blev alt i alt </w:t>
      </w:r>
      <w:r w:rsidR="008847CF">
        <w:rPr>
          <w:rFonts w:ascii="Verdana" w:hAnsi="Verdana" w:cs="Arial"/>
          <w:sz w:val="20"/>
          <w:szCs w:val="20"/>
        </w:rPr>
        <w:t xml:space="preserve">til </w:t>
      </w:r>
      <w:r w:rsidR="00A22EED">
        <w:rPr>
          <w:rFonts w:ascii="Verdana" w:hAnsi="Verdana" w:cs="Arial"/>
          <w:sz w:val="20"/>
          <w:szCs w:val="20"/>
        </w:rPr>
        <w:t xml:space="preserve">en </w:t>
      </w:r>
      <w:r w:rsidR="000C37A8" w:rsidRPr="00DD6599">
        <w:rPr>
          <w:rFonts w:ascii="Verdana" w:hAnsi="Verdana" w:cs="Arial"/>
          <w:sz w:val="20"/>
          <w:szCs w:val="20"/>
        </w:rPr>
        <w:t>rekordstor</w:t>
      </w:r>
      <w:r w:rsidRPr="00DD6599">
        <w:rPr>
          <w:rFonts w:ascii="Verdana" w:hAnsi="Verdana" w:cs="Arial"/>
          <w:sz w:val="20"/>
          <w:szCs w:val="20"/>
        </w:rPr>
        <w:t xml:space="preserve"> fremgang for NRGi i 2016</w:t>
      </w:r>
      <w:r w:rsidR="00A22EED">
        <w:rPr>
          <w:rFonts w:ascii="Verdana" w:hAnsi="Verdana" w:cs="Arial"/>
          <w:sz w:val="20"/>
          <w:szCs w:val="20"/>
        </w:rPr>
        <w:t xml:space="preserve">. </w:t>
      </w:r>
      <w:r w:rsidR="007F5E90">
        <w:rPr>
          <w:rFonts w:ascii="Verdana" w:hAnsi="Verdana" w:cs="Arial"/>
          <w:sz w:val="20"/>
          <w:szCs w:val="20"/>
        </w:rPr>
        <w:t xml:space="preserve">Selskabet </w:t>
      </w:r>
      <w:r w:rsidR="007F5E90" w:rsidRPr="00DD6599">
        <w:rPr>
          <w:rFonts w:ascii="Verdana" w:hAnsi="Verdana" w:cs="Arial"/>
          <w:sz w:val="20"/>
          <w:szCs w:val="20"/>
        </w:rPr>
        <w:t>kunne</w:t>
      </w:r>
      <w:r w:rsidR="0021363A">
        <w:rPr>
          <w:rFonts w:ascii="Verdana" w:hAnsi="Verdana" w:cs="Arial"/>
          <w:sz w:val="20"/>
          <w:szCs w:val="20"/>
        </w:rPr>
        <w:t xml:space="preserve"> glæde sig over </w:t>
      </w:r>
      <w:r w:rsidRPr="00DD6599">
        <w:rPr>
          <w:rFonts w:ascii="Verdana" w:hAnsi="Verdana" w:cs="Arial"/>
          <w:sz w:val="20"/>
          <w:szCs w:val="20"/>
        </w:rPr>
        <w:t>en</w:t>
      </w:r>
      <w:r w:rsidR="0021363A">
        <w:rPr>
          <w:rFonts w:ascii="Verdana" w:hAnsi="Verdana" w:cs="Arial"/>
          <w:sz w:val="20"/>
          <w:szCs w:val="20"/>
        </w:rPr>
        <w:t xml:space="preserve"> indtjening på 228 MDKK og et resultat af den primære drift på 108 MDKK, hvilket er det bedste resultat </w:t>
      </w:r>
      <w:r w:rsidR="00DF0F4E">
        <w:rPr>
          <w:rFonts w:ascii="Verdana" w:hAnsi="Verdana" w:cs="Arial"/>
          <w:sz w:val="20"/>
          <w:szCs w:val="20"/>
        </w:rPr>
        <w:t>siden fusionen i 2008</w:t>
      </w:r>
      <w:r w:rsidR="0021363A">
        <w:rPr>
          <w:rFonts w:ascii="Verdana" w:hAnsi="Verdana" w:cs="Arial"/>
          <w:sz w:val="20"/>
          <w:szCs w:val="20"/>
        </w:rPr>
        <w:t xml:space="preserve">. Det er </w:t>
      </w:r>
      <w:r w:rsidR="005E2EC4">
        <w:rPr>
          <w:rFonts w:ascii="Verdana" w:hAnsi="Verdana" w:cs="Arial"/>
          <w:sz w:val="20"/>
          <w:szCs w:val="20"/>
        </w:rPr>
        <w:t>henholdsvis 129 og 25 MDKK</w:t>
      </w:r>
      <w:r w:rsidR="00C64DA0" w:rsidRPr="00DD6599">
        <w:rPr>
          <w:rFonts w:ascii="Verdana" w:hAnsi="Verdana" w:cs="Arial"/>
          <w:sz w:val="20"/>
          <w:szCs w:val="20"/>
        </w:rPr>
        <w:t xml:space="preserve"> højere end </w:t>
      </w:r>
      <w:r w:rsidR="00FD4B74">
        <w:rPr>
          <w:rFonts w:ascii="Verdana" w:hAnsi="Verdana" w:cs="Arial"/>
          <w:sz w:val="20"/>
          <w:szCs w:val="20"/>
        </w:rPr>
        <w:t>forventningerne</w:t>
      </w:r>
      <w:r w:rsidRPr="00DD6599">
        <w:rPr>
          <w:rFonts w:ascii="Verdana" w:hAnsi="Verdana" w:cs="Arial"/>
          <w:sz w:val="20"/>
          <w:szCs w:val="20"/>
        </w:rPr>
        <w:t xml:space="preserve"> på indtjenings</w:t>
      </w:r>
      <w:r w:rsidR="000C37A8" w:rsidRPr="00DD6599">
        <w:rPr>
          <w:rFonts w:ascii="Verdana" w:hAnsi="Verdana" w:cs="Arial"/>
          <w:sz w:val="20"/>
          <w:szCs w:val="20"/>
        </w:rPr>
        <w:t>-</w:t>
      </w:r>
      <w:r w:rsidR="009B773F">
        <w:rPr>
          <w:rFonts w:ascii="Verdana" w:hAnsi="Verdana" w:cs="Arial"/>
          <w:sz w:val="20"/>
          <w:szCs w:val="20"/>
        </w:rPr>
        <w:t xml:space="preserve"> </w:t>
      </w:r>
      <w:r w:rsidRPr="00DD6599">
        <w:rPr>
          <w:rFonts w:ascii="Verdana" w:hAnsi="Verdana" w:cs="Arial"/>
          <w:sz w:val="20"/>
          <w:szCs w:val="20"/>
        </w:rPr>
        <w:t>og resultatsiden.</w:t>
      </w:r>
      <w:r w:rsidR="002F447C" w:rsidRPr="00DD6599">
        <w:rPr>
          <w:rFonts w:ascii="Verdana" w:hAnsi="Verdana" w:cs="Arial"/>
          <w:sz w:val="20"/>
          <w:szCs w:val="20"/>
        </w:rPr>
        <w:t xml:space="preserve"> </w:t>
      </w:r>
    </w:p>
    <w:p w:rsidR="00F71698" w:rsidRDefault="00F7169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Omsætningen på</w:t>
      </w:r>
      <w:r w:rsidRPr="00DD6599">
        <w:rPr>
          <w:rFonts w:ascii="Verdana" w:hAnsi="Verdana" w:cs="Arial"/>
          <w:sz w:val="20"/>
          <w:szCs w:val="20"/>
        </w:rPr>
        <w:t xml:space="preserve"> 1.765 MDKK </w:t>
      </w:r>
      <w:r>
        <w:rPr>
          <w:rFonts w:ascii="Verdana" w:hAnsi="Verdana" w:cs="Arial"/>
          <w:sz w:val="20"/>
          <w:szCs w:val="20"/>
        </w:rPr>
        <w:t xml:space="preserve">er lavere </w:t>
      </w:r>
      <w:r w:rsidRPr="00DD6599">
        <w:rPr>
          <w:rFonts w:ascii="Verdana" w:hAnsi="Verdana" w:cs="Arial"/>
          <w:sz w:val="20"/>
          <w:szCs w:val="20"/>
        </w:rPr>
        <w:t xml:space="preserve">end </w:t>
      </w:r>
      <w:r w:rsidR="00FD4B74">
        <w:rPr>
          <w:rFonts w:ascii="Verdana" w:hAnsi="Verdana" w:cs="Arial"/>
          <w:sz w:val="20"/>
          <w:szCs w:val="20"/>
        </w:rPr>
        <w:t>sidste år</w:t>
      </w:r>
      <w:r w:rsidRPr="00DD6599">
        <w:rPr>
          <w:rFonts w:ascii="Verdana" w:hAnsi="Verdana" w:cs="Arial"/>
          <w:sz w:val="20"/>
          <w:szCs w:val="20"/>
        </w:rPr>
        <w:t xml:space="preserve">, </w:t>
      </w:r>
      <w:r w:rsidR="00FD4B74">
        <w:rPr>
          <w:rFonts w:ascii="Verdana" w:hAnsi="Verdana" w:cs="Arial"/>
          <w:sz w:val="20"/>
          <w:szCs w:val="20"/>
        </w:rPr>
        <w:t>hvilket</w:t>
      </w:r>
      <w:r w:rsidRPr="00DD6599">
        <w:rPr>
          <w:rFonts w:ascii="Verdana" w:hAnsi="Verdana" w:cs="Arial"/>
          <w:sz w:val="20"/>
          <w:szCs w:val="20"/>
        </w:rPr>
        <w:t xml:space="preserve"> </w:t>
      </w:r>
      <w:r w:rsidR="00A006F9">
        <w:rPr>
          <w:rFonts w:ascii="Verdana" w:hAnsi="Verdana" w:cs="Arial"/>
          <w:sz w:val="20"/>
          <w:szCs w:val="20"/>
        </w:rPr>
        <w:t xml:space="preserve">primært </w:t>
      </w:r>
      <w:r w:rsidR="00FD4B74">
        <w:rPr>
          <w:rFonts w:ascii="Verdana" w:hAnsi="Verdana" w:cs="Arial"/>
          <w:sz w:val="20"/>
          <w:szCs w:val="20"/>
        </w:rPr>
        <w:t xml:space="preserve">skyldes at </w:t>
      </w:r>
      <w:r>
        <w:rPr>
          <w:rFonts w:ascii="Verdana" w:hAnsi="Verdana" w:cs="Arial"/>
          <w:sz w:val="20"/>
          <w:szCs w:val="20"/>
        </w:rPr>
        <w:t>PSO-afgiften ikke længere indregnes i omsætningen</w:t>
      </w:r>
      <w:r w:rsidR="00A006F9">
        <w:rPr>
          <w:rFonts w:ascii="Verdana" w:hAnsi="Verdana" w:cs="Arial"/>
          <w:sz w:val="20"/>
          <w:szCs w:val="20"/>
        </w:rPr>
        <w:t xml:space="preserve"> fra 1. april 2016</w:t>
      </w:r>
      <w:r>
        <w:rPr>
          <w:rFonts w:ascii="Verdana" w:hAnsi="Verdana" w:cs="Arial"/>
          <w:sz w:val="20"/>
          <w:szCs w:val="20"/>
        </w:rPr>
        <w:t xml:space="preserve">. </w:t>
      </w:r>
    </w:p>
    <w:p w:rsidR="00D05AE3" w:rsidRDefault="00F97473">
      <w:pPr>
        <w:rPr>
          <w:rFonts w:ascii="Verdana" w:hAnsi="Verdana" w:cs="Arial"/>
          <w:sz w:val="20"/>
          <w:szCs w:val="20"/>
        </w:rPr>
      </w:pPr>
      <w:r w:rsidRPr="00DD6599">
        <w:rPr>
          <w:rFonts w:ascii="Verdana" w:hAnsi="Verdana" w:cs="Arial"/>
          <w:sz w:val="20"/>
          <w:szCs w:val="20"/>
        </w:rPr>
        <w:t>”</w:t>
      </w:r>
      <w:r w:rsidR="00D05AE3">
        <w:rPr>
          <w:rFonts w:ascii="Verdana" w:hAnsi="Verdana" w:cs="Arial"/>
          <w:sz w:val="20"/>
          <w:szCs w:val="20"/>
        </w:rPr>
        <w:t xml:space="preserve">2016 </w:t>
      </w:r>
      <w:r w:rsidR="0063379F">
        <w:rPr>
          <w:rFonts w:ascii="Verdana" w:hAnsi="Verdana" w:cs="Arial"/>
          <w:sz w:val="20"/>
          <w:szCs w:val="20"/>
        </w:rPr>
        <w:t xml:space="preserve">var </w:t>
      </w:r>
      <w:r w:rsidR="009E3659" w:rsidRPr="00DD6599">
        <w:rPr>
          <w:rFonts w:ascii="Verdana" w:hAnsi="Verdana" w:cs="Arial"/>
          <w:sz w:val="20"/>
          <w:szCs w:val="20"/>
        </w:rPr>
        <w:t>på alle måder et år, hvor der blev sat skub i selskabets forretninger. Produkt</w:t>
      </w:r>
      <w:r w:rsidR="00070478">
        <w:rPr>
          <w:rFonts w:ascii="Verdana" w:hAnsi="Verdana" w:cs="Arial"/>
          <w:sz w:val="20"/>
          <w:szCs w:val="20"/>
        </w:rPr>
        <w:t>serier</w:t>
      </w:r>
      <w:r w:rsidR="009E3659" w:rsidRPr="00DD6599">
        <w:rPr>
          <w:rFonts w:ascii="Verdana" w:hAnsi="Verdana" w:cs="Arial"/>
          <w:sz w:val="20"/>
          <w:szCs w:val="20"/>
        </w:rPr>
        <w:t xml:space="preserve"> er blev</w:t>
      </w:r>
      <w:r w:rsidR="00750FA6" w:rsidRPr="00DD6599">
        <w:rPr>
          <w:rFonts w:ascii="Verdana" w:hAnsi="Verdana" w:cs="Arial"/>
          <w:sz w:val="20"/>
          <w:szCs w:val="20"/>
        </w:rPr>
        <w:t>et</w:t>
      </w:r>
      <w:r w:rsidR="009E3659" w:rsidRPr="00DD6599">
        <w:rPr>
          <w:rFonts w:ascii="Verdana" w:hAnsi="Verdana" w:cs="Arial"/>
          <w:sz w:val="20"/>
          <w:szCs w:val="20"/>
        </w:rPr>
        <w:t xml:space="preserve"> strammet, nye kundesystemer er</w:t>
      </w:r>
      <w:r w:rsidR="00BF216C" w:rsidRPr="00DD6599">
        <w:rPr>
          <w:rFonts w:ascii="Verdana" w:hAnsi="Verdana" w:cs="Arial"/>
          <w:sz w:val="20"/>
          <w:szCs w:val="20"/>
        </w:rPr>
        <w:t xml:space="preserve"> blevet</w:t>
      </w:r>
      <w:r w:rsidR="009E3659" w:rsidRPr="00DD6599">
        <w:rPr>
          <w:rFonts w:ascii="Verdana" w:hAnsi="Verdana" w:cs="Arial"/>
          <w:sz w:val="20"/>
          <w:szCs w:val="20"/>
        </w:rPr>
        <w:t xml:space="preserve"> indført</w:t>
      </w:r>
      <w:r w:rsidR="00077A20" w:rsidRPr="00DD6599">
        <w:rPr>
          <w:rFonts w:ascii="Verdana" w:hAnsi="Verdana" w:cs="Arial"/>
          <w:sz w:val="20"/>
          <w:szCs w:val="20"/>
        </w:rPr>
        <w:t>, der er blevet</w:t>
      </w:r>
      <w:r w:rsidR="00750FA6" w:rsidRPr="00DD6599">
        <w:rPr>
          <w:rFonts w:ascii="Verdana" w:hAnsi="Verdana" w:cs="Arial"/>
          <w:sz w:val="20"/>
          <w:szCs w:val="20"/>
        </w:rPr>
        <w:t xml:space="preserve"> opkøbt </w:t>
      </w:r>
      <w:r w:rsidR="00070478">
        <w:rPr>
          <w:rFonts w:ascii="Verdana" w:hAnsi="Verdana" w:cs="Arial"/>
          <w:sz w:val="20"/>
          <w:szCs w:val="20"/>
        </w:rPr>
        <w:t xml:space="preserve">nye kompetencer </w:t>
      </w:r>
      <w:r w:rsidR="003B6585">
        <w:rPr>
          <w:rFonts w:ascii="Verdana" w:hAnsi="Verdana" w:cs="Arial"/>
          <w:sz w:val="20"/>
          <w:szCs w:val="20"/>
        </w:rPr>
        <w:t>og</w:t>
      </w:r>
      <w:r w:rsidR="00077A20" w:rsidRPr="00DD6599">
        <w:rPr>
          <w:rFonts w:ascii="Verdana" w:hAnsi="Verdana" w:cs="Arial"/>
          <w:sz w:val="20"/>
          <w:szCs w:val="20"/>
        </w:rPr>
        <w:t xml:space="preserve"> investeret i fremtide</w:t>
      </w:r>
      <w:r w:rsidR="00750FA6" w:rsidRPr="00DD6599">
        <w:rPr>
          <w:rFonts w:ascii="Verdana" w:hAnsi="Verdana" w:cs="Arial"/>
          <w:sz w:val="20"/>
          <w:szCs w:val="20"/>
        </w:rPr>
        <w:t>n</w:t>
      </w:r>
      <w:r w:rsidR="002D1DD3">
        <w:rPr>
          <w:rFonts w:ascii="Verdana" w:hAnsi="Verdana" w:cs="Arial"/>
          <w:sz w:val="20"/>
          <w:szCs w:val="20"/>
        </w:rPr>
        <w:t>s vedvarende energiproduktion</w:t>
      </w:r>
      <w:r w:rsidR="00731E23">
        <w:rPr>
          <w:rFonts w:ascii="Verdana" w:hAnsi="Verdana" w:cs="Arial"/>
          <w:sz w:val="20"/>
          <w:szCs w:val="20"/>
        </w:rPr>
        <w:t>. R</w:t>
      </w:r>
      <w:r w:rsidR="002D1DD3">
        <w:rPr>
          <w:rFonts w:ascii="Verdana" w:hAnsi="Verdana" w:cs="Arial"/>
          <w:sz w:val="20"/>
          <w:szCs w:val="20"/>
        </w:rPr>
        <w:t>esultatet for året vidner om forbedrede markedspositioner</w:t>
      </w:r>
      <w:r w:rsidR="00731E23">
        <w:rPr>
          <w:rFonts w:ascii="Verdana" w:hAnsi="Verdana" w:cs="Arial"/>
          <w:sz w:val="20"/>
          <w:szCs w:val="20"/>
        </w:rPr>
        <w:t>, der bringer NRGi</w:t>
      </w:r>
      <w:r w:rsidR="00750FA6" w:rsidRPr="00DD6599">
        <w:rPr>
          <w:rFonts w:ascii="Verdana" w:hAnsi="Verdana" w:cs="Arial"/>
          <w:sz w:val="20"/>
          <w:szCs w:val="20"/>
        </w:rPr>
        <w:t xml:space="preserve"> </w:t>
      </w:r>
      <w:r w:rsidR="00731E23">
        <w:rPr>
          <w:rFonts w:ascii="Verdana" w:hAnsi="Verdana" w:cs="Arial"/>
          <w:sz w:val="20"/>
          <w:szCs w:val="20"/>
        </w:rPr>
        <w:t>et skridt nærmere ambitionen om</w:t>
      </w:r>
      <w:r w:rsidR="00BF216C" w:rsidRPr="00DD6599">
        <w:rPr>
          <w:rFonts w:ascii="Verdana" w:hAnsi="Verdana" w:cs="Arial"/>
          <w:sz w:val="20"/>
          <w:szCs w:val="20"/>
        </w:rPr>
        <w:t xml:space="preserve"> at blive det mest lønsomme </w:t>
      </w:r>
      <w:r w:rsidR="00070478">
        <w:rPr>
          <w:rFonts w:ascii="Verdana" w:hAnsi="Verdana" w:cs="Arial"/>
          <w:sz w:val="20"/>
          <w:szCs w:val="20"/>
        </w:rPr>
        <w:t xml:space="preserve">andelsejede </w:t>
      </w:r>
      <w:r w:rsidR="00BF216C" w:rsidRPr="00DD6599">
        <w:rPr>
          <w:rFonts w:ascii="Verdana" w:hAnsi="Verdana" w:cs="Arial"/>
          <w:sz w:val="20"/>
          <w:szCs w:val="20"/>
        </w:rPr>
        <w:t>energiselskab i Danmark”, fortæller administr</w:t>
      </w:r>
      <w:r w:rsidR="00D05AE3">
        <w:rPr>
          <w:rFonts w:ascii="Verdana" w:hAnsi="Verdana" w:cs="Arial"/>
          <w:sz w:val="20"/>
          <w:szCs w:val="20"/>
        </w:rPr>
        <w:t>erende direktør Søren Sørensen.</w:t>
      </w:r>
    </w:p>
    <w:p w:rsidR="00F71698" w:rsidRDefault="003B6585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Herunder</w:t>
      </w:r>
      <w:r w:rsidR="0007610F">
        <w:rPr>
          <w:rFonts w:ascii="Verdana" w:hAnsi="Verdana" w:cs="Arial"/>
          <w:sz w:val="20"/>
          <w:szCs w:val="20"/>
        </w:rPr>
        <w:t xml:space="preserve"> blev</w:t>
      </w:r>
      <w:r>
        <w:rPr>
          <w:rFonts w:ascii="Verdana" w:hAnsi="Verdana" w:cs="Arial"/>
          <w:sz w:val="20"/>
          <w:szCs w:val="20"/>
        </w:rPr>
        <w:t xml:space="preserve"> </w:t>
      </w:r>
      <w:r w:rsidR="0007610F">
        <w:rPr>
          <w:rFonts w:ascii="Verdana" w:hAnsi="Verdana" w:cs="Arial"/>
          <w:sz w:val="20"/>
          <w:szCs w:val="20"/>
        </w:rPr>
        <w:t>det</w:t>
      </w:r>
      <w:r w:rsidR="00DE0DA0">
        <w:rPr>
          <w:rFonts w:ascii="Verdana" w:hAnsi="Verdana" w:cs="Arial"/>
          <w:sz w:val="20"/>
          <w:szCs w:val="20"/>
        </w:rPr>
        <w:t xml:space="preserve"> også</w:t>
      </w:r>
      <w:r w:rsidR="0007610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til en</w:t>
      </w:r>
      <w:r w:rsidR="0007610F">
        <w:rPr>
          <w:rFonts w:ascii="Verdana" w:hAnsi="Verdana" w:cs="Arial"/>
          <w:sz w:val="20"/>
          <w:szCs w:val="20"/>
        </w:rPr>
        <w:t xml:space="preserve"> nævneværdig</w:t>
      </w:r>
      <w:r>
        <w:rPr>
          <w:rFonts w:ascii="Verdana" w:hAnsi="Verdana" w:cs="Arial"/>
          <w:sz w:val="20"/>
          <w:szCs w:val="20"/>
        </w:rPr>
        <w:t xml:space="preserve"> placering som det næstmest effektive el-distributionsselskab</w:t>
      </w:r>
      <w:r w:rsidR="00CE0BC7">
        <w:rPr>
          <w:rFonts w:ascii="Verdana" w:hAnsi="Verdana" w:cs="Arial"/>
          <w:sz w:val="20"/>
          <w:szCs w:val="20"/>
        </w:rPr>
        <w:t xml:space="preserve"> for netselskabet, som</w:t>
      </w:r>
      <w:r w:rsidR="00DE0DA0">
        <w:rPr>
          <w:rFonts w:ascii="Verdana" w:hAnsi="Verdana" w:cs="Arial"/>
          <w:sz w:val="20"/>
          <w:szCs w:val="20"/>
        </w:rPr>
        <w:t xml:space="preserve"> fortsat</w:t>
      </w:r>
      <w:r w:rsidR="00CE0BC7">
        <w:rPr>
          <w:rFonts w:ascii="Verdana" w:hAnsi="Verdana" w:cs="Arial"/>
          <w:sz w:val="20"/>
          <w:szCs w:val="20"/>
        </w:rPr>
        <w:t xml:space="preserve"> sikrer</w:t>
      </w:r>
      <w:r w:rsidR="00070478">
        <w:rPr>
          <w:rFonts w:ascii="Verdana" w:hAnsi="Verdana" w:cs="Arial"/>
          <w:sz w:val="20"/>
          <w:szCs w:val="20"/>
        </w:rPr>
        <w:t xml:space="preserve"> høj forsyningssikkerhed.</w:t>
      </w:r>
    </w:p>
    <w:p w:rsidR="006D7C0F" w:rsidRPr="00DD6599" w:rsidRDefault="004B5030" w:rsidP="006D7C0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2016 var </w:t>
      </w:r>
      <w:r w:rsidR="00D05AE3">
        <w:rPr>
          <w:rFonts w:ascii="Verdana" w:hAnsi="Verdana" w:cs="Arial"/>
          <w:sz w:val="20"/>
          <w:szCs w:val="20"/>
        </w:rPr>
        <w:t xml:space="preserve">året, hvor </w:t>
      </w:r>
      <w:r w:rsidR="00DE0DA0">
        <w:rPr>
          <w:rFonts w:ascii="Verdana" w:hAnsi="Verdana" w:cs="Arial"/>
          <w:sz w:val="20"/>
          <w:szCs w:val="20"/>
        </w:rPr>
        <w:t>NRGi</w:t>
      </w:r>
      <w:r w:rsidR="00237D39" w:rsidRPr="00DD6599">
        <w:rPr>
          <w:rFonts w:ascii="Verdana" w:hAnsi="Verdana" w:cs="Arial"/>
          <w:sz w:val="20"/>
          <w:szCs w:val="20"/>
        </w:rPr>
        <w:t>’s</w:t>
      </w:r>
      <w:r w:rsidR="002A7294" w:rsidRPr="00DD6599">
        <w:rPr>
          <w:rFonts w:ascii="Verdana" w:hAnsi="Verdana" w:cs="Arial"/>
          <w:sz w:val="20"/>
          <w:szCs w:val="20"/>
        </w:rPr>
        <w:t xml:space="preserve"> ambitioner for vedvarende energi for a</w:t>
      </w:r>
      <w:r w:rsidR="00832384">
        <w:rPr>
          <w:rFonts w:ascii="Verdana" w:hAnsi="Verdana" w:cs="Arial"/>
          <w:sz w:val="20"/>
          <w:szCs w:val="20"/>
        </w:rPr>
        <w:t>lvor</w:t>
      </w:r>
      <w:r w:rsidR="00D05AE3">
        <w:rPr>
          <w:rFonts w:ascii="Verdana" w:hAnsi="Verdana" w:cs="Arial"/>
          <w:sz w:val="20"/>
          <w:szCs w:val="20"/>
        </w:rPr>
        <w:t xml:space="preserve"> </w:t>
      </w:r>
      <w:r w:rsidR="002D1DD3">
        <w:rPr>
          <w:rFonts w:ascii="Verdana" w:hAnsi="Verdana" w:cs="Arial"/>
          <w:sz w:val="20"/>
          <w:szCs w:val="20"/>
        </w:rPr>
        <w:t xml:space="preserve">fik </w:t>
      </w:r>
      <w:r w:rsidR="00D05AE3">
        <w:rPr>
          <w:rFonts w:ascii="Verdana" w:hAnsi="Verdana" w:cs="Arial"/>
          <w:sz w:val="20"/>
          <w:szCs w:val="20"/>
        </w:rPr>
        <w:t>luft under vingerne</w:t>
      </w:r>
      <w:r w:rsidR="00832384">
        <w:rPr>
          <w:rFonts w:ascii="Verdana" w:hAnsi="Verdana" w:cs="Arial"/>
          <w:sz w:val="20"/>
          <w:szCs w:val="20"/>
        </w:rPr>
        <w:t>. Her kunne</w:t>
      </w:r>
      <w:r w:rsidR="002A7294" w:rsidRPr="00DD6599">
        <w:rPr>
          <w:rFonts w:ascii="Verdana" w:hAnsi="Verdana" w:cs="Arial"/>
          <w:sz w:val="20"/>
          <w:szCs w:val="20"/>
        </w:rPr>
        <w:t xml:space="preserve"> </w:t>
      </w:r>
      <w:r w:rsidR="001E1FC1">
        <w:rPr>
          <w:rFonts w:ascii="Verdana" w:hAnsi="Verdana" w:cs="Arial"/>
          <w:sz w:val="20"/>
          <w:szCs w:val="20"/>
        </w:rPr>
        <w:t>man</w:t>
      </w:r>
      <w:r w:rsidR="00832384">
        <w:rPr>
          <w:rFonts w:ascii="Verdana" w:hAnsi="Verdana" w:cs="Arial"/>
          <w:sz w:val="20"/>
          <w:szCs w:val="20"/>
        </w:rPr>
        <w:t xml:space="preserve"> </w:t>
      </w:r>
      <w:r w:rsidR="002A7294" w:rsidRPr="00DD6599">
        <w:rPr>
          <w:rFonts w:ascii="Verdana" w:hAnsi="Verdana" w:cs="Arial"/>
          <w:sz w:val="20"/>
          <w:szCs w:val="20"/>
        </w:rPr>
        <w:t xml:space="preserve">præsentere to idriftsatte vindmølleparker med otte vindmøller og en energiproduktion på </w:t>
      </w:r>
      <w:r w:rsidR="006D7C0F" w:rsidRPr="00DD6599">
        <w:rPr>
          <w:rFonts w:ascii="Verdana" w:hAnsi="Verdana" w:cs="Arial"/>
          <w:sz w:val="20"/>
          <w:szCs w:val="20"/>
        </w:rPr>
        <w:t xml:space="preserve">24 MW svarende </w:t>
      </w:r>
      <w:r w:rsidR="00E56499" w:rsidRPr="00DD6599">
        <w:rPr>
          <w:rFonts w:ascii="Verdana" w:hAnsi="Verdana" w:cs="Arial"/>
          <w:sz w:val="20"/>
          <w:szCs w:val="20"/>
        </w:rPr>
        <w:t xml:space="preserve">til </w:t>
      </w:r>
      <w:r w:rsidR="006D7C0F" w:rsidRPr="00DD6599">
        <w:rPr>
          <w:rFonts w:ascii="Verdana" w:hAnsi="Verdana" w:cs="Arial"/>
          <w:sz w:val="20"/>
          <w:szCs w:val="20"/>
        </w:rPr>
        <w:t>mere end 18.</w:t>
      </w:r>
      <w:r w:rsidR="00DD6599" w:rsidRPr="00DD6599">
        <w:rPr>
          <w:rFonts w:ascii="Verdana" w:hAnsi="Verdana" w:cs="Arial"/>
          <w:sz w:val="20"/>
          <w:szCs w:val="20"/>
        </w:rPr>
        <w:t>00</w:t>
      </w:r>
      <w:r w:rsidR="00D77BBC">
        <w:rPr>
          <w:rFonts w:ascii="Verdana" w:hAnsi="Verdana" w:cs="Arial"/>
          <w:sz w:val="20"/>
          <w:szCs w:val="20"/>
        </w:rPr>
        <w:t>0 husstandes årlige elforbrug samt</w:t>
      </w:r>
      <w:r w:rsidR="00DD6599" w:rsidRPr="00DD6599">
        <w:rPr>
          <w:rFonts w:ascii="Verdana" w:hAnsi="Verdana" w:cs="Arial"/>
          <w:sz w:val="20"/>
          <w:szCs w:val="20"/>
        </w:rPr>
        <w:t xml:space="preserve"> et tredje projekt ulmende i horisonten.</w:t>
      </w:r>
      <w:r w:rsidR="00FD4B74">
        <w:rPr>
          <w:rFonts w:ascii="Verdana" w:hAnsi="Verdana" w:cs="Arial"/>
          <w:sz w:val="20"/>
          <w:szCs w:val="20"/>
        </w:rPr>
        <w:t xml:space="preserve"> NRGi har i 2016 investeret </w:t>
      </w:r>
      <w:r w:rsidR="00C507CB">
        <w:rPr>
          <w:rFonts w:ascii="Verdana" w:hAnsi="Verdana" w:cs="Arial"/>
          <w:sz w:val="20"/>
          <w:szCs w:val="20"/>
        </w:rPr>
        <w:t>249</w:t>
      </w:r>
      <w:r w:rsidR="00FD4B74">
        <w:rPr>
          <w:rFonts w:ascii="Verdana" w:hAnsi="Verdana" w:cs="Arial"/>
          <w:sz w:val="20"/>
          <w:szCs w:val="20"/>
        </w:rPr>
        <w:t xml:space="preserve"> </w:t>
      </w:r>
      <w:r w:rsidR="00C507CB">
        <w:rPr>
          <w:rFonts w:ascii="Verdana" w:hAnsi="Verdana" w:cs="Arial"/>
          <w:sz w:val="20"/>
          <w:szCs w:val="20"/>
        </w:rPr>
        <w:t>MDKK</w:t>
      </w:r>
      <w:r w:rsidR="00FD4B74">
        <w:rPr>
          <w:rFonts w:ascii="Verdana" w:hAnsi="Verdana" w:cs="Arial"/>
          <w:sz w:val="20"/>
          <w:szCs w:val="20"/>
        </w:rPr>
        <w:t xml:space="preserve"> i vedvarende energiprojekter.</w:t>
      </w:r>
    </w:p>
    <w:p w:rsidR="00FB2968" w:rsidRDefault="00DD6599" w:rsidP="006D7C0F">
      <w:pPr>
        <w:rPr>
          <w:rFonts w:ascii="Verdana" w:hAnsi="Verdana" w:cs="Arial"/>
          <w:sz w:val="20"/>
          <w:szCs w:val="20"/>
        </w:rPr>
      </w:pPr>
      <w:r w:rsidRPr="00DD6599">
        <w:rPr>
          <w:rFonts w:ascii="Verdana" w:hAnsi="Verdana" w:cs="Arial"/>
          <w:sz w:val="20"/>
          <w:szCs w:val="20"/>
        </w:rPr>
        <w:t>2016 b</w:t>
      </w:r>
      <w:r w:rsidR="00CD13B0">
        <w:rPr>
          <w:rFonts w:ascii="Verdana" w:hAnsi="Verdana" w:cs="Arial"/>
          <w:sz w:val="20"/>
          <w:szCs w:val="20"/>
        </w:rPr>
        <w:t xml:space="preserve">lev ligeledes året, </w:t>
      </w:r>
      <w:r w:rsidR="00FB2968">
        <w:rPr>
          <w:rFonts w:ascii="Verdana" w:hAnsi="Verdana" w:cs="Arial"/>
          <w:sz w:val="20"/>
          <w:szCs w:val="20"/>
        </w:rPr>
        <w:t>hvor man som et nyt led i den årlige rabatudbetalin</w:t>
      </w:r>
      <w:r w:rsidR="00DC5DD2">
        <w:rPr>
          <w:rFonts w:ascii="Verdana" w:hAnsi="Verdana" w:cs="Arial"/>
          <w:sz w:val="20"/>
          <w:szCs w:val="20"/>
        </w:rPr>
        <w:t xml:space="preserve">g, </w:t>
      </w:r>
      <w:r w:rsidR="00FB2968">
        <w:rPr>
          <w:rFonts w:ascii="Verdana" w:hAnsi="Verdana" w:cs="Arial"/>
          <w:sz w:val="20"/>
          <w:szCs w:val="20"/>
        </w:rPr>
        <w:t>introducerede en værdipulje</w:t>
      </w:r>
      <w:r w:rsidR="0091006C">
        <w:rPr>
          <w:rFonts w:ascii="Verdana" w:hAnsi="Verdana" w:cs="Arial"/>
          <w:sz w:val="20"/>
          <w:szCs w:val="20"/>
        </w:rPr>
        <w:t xml:space="preserve">. Puljen lød på </w:t>
      </w:r>
      <w:r w:rsidR="00A22EED">
        <w:rPr>
          <w:rFonts w:ascii="Verdana" w:hAnsi="Verdana" w:cs="Arial"/>
          <w:sz w:val="20"/>
          <w:szCs w:val="20"/>
        </w:rPr>
        <w:t>seks</w:t>
      </w:r>
      <w:r w:rsidR="00FB2968">
        <w:rPr>
          <w:rFonts w:ascii="Verdana" w:hAnsi="Verdana" w:cs="Arial"/>
          <w:sz w:val="20"/>
          <w:szCs w:val="20"/>
        </w:rPr>
        <w:t xml:space="preserve"> millioner kroner, som selskabets andelshavere kunne ansøge om midler fra</w:t>
      </w:r>
      <w:r w:rsidR="00D05AE3">
        <w:rPr>
          <w:rFonts w:ascii="Verdana" w:hAnsi="Verdana" w:cs="Arial"/>
          <w:sz w:val="20"/>
          <w:szCs w:val="20"/>
        </w:rPr>
        <w:t xml:space="preserve"> til ideer og projekter, der </w:t>
      </w:r>
      <w:r w:rsidR="00FB2968">
        <w:rPr>
          <w:rFonts w:ascii="Verdana" w:hAnsi="Verdana" w:cs="Arial"/>
          <w:sz w:val="20"/>
          <w:szCs w:val="20"/>
        </w:rPr>
        <w:t>fremme</w:t>
      </w:r>
      <w:r w:rsidR="00D05AE3">
        <w:rPr>
          <w:rFonts w:ascii="Verdana" w:hAnsi="Verdana" w:cs="Arial"/>
          <w:sz w:val="20"/>
          <w:szCs w:val="20"/>
        </w:rPr>
        <w:t>r</w:t>
      </w:r>
      <w:r w:rsidR="00FB2968">
        <w:rPr>
          <w:rFonts w:ascii="Verdana" w:hAnsi="Verdana" w:cs="Arial"/>
          <w:sz w:val="20"/>
          <w:szCs w:val="20"/>
        </w:rPr>
        <w:t xml:space="preserve"> den bæredygtige udvikling i byerne og lokalområderne i Østjylland.</w:t>
      </w:r>
      <w:r w:rsidR="00F61487">
        <w:rPr>
          <w:rFonts w:ascii="Verdana" w:hAnsi="Verdana" w:cs="Arial"/>
          <w:sz w:val="20"/>
          <w:szCs w:val="20"/>
        </w:rPr>
        <w:t xml:space="preserve"> 17 projekter fordelt på hele </w:t>
      </w:r>
      <w:r w:rsidR="00EF3A86">
        <w:rPr>
          <w:rFonts w:ascii="Verdana" w:hAnsi="Verdana" w:cs="Arial"/>
          <w:sz w:val="20"/>
          <w:szCs w:val="20"/>
        </w:rPr>
        <w:t>forsyningsområdet fik tildelt støtte</w:t>
      </w:r>
      <w:r w:rsidR="00F61487">
        <w:rPr>
          <w:rFonts w:ascii="Verdana" w:hAnsi="Verdana" w:cs="Arial"/>
          <w:sz w:val="20"/>
          <w:szCs w:val="20"/>
        </w:rPr>
        <w:t xml:space="preserve">. </w:t>
      </w:r>
      <w:r w:rsidR="00560E4C">
        <w:rPr>
          <w:rFonts w:ascii="Verdana" w:hAnsi="Verdana" w:cs="Arial"/>
          <w:sz w:val="20"/>
          <w:szCs w:val="20"/>
        </w:rPr>
        <w:t>Foruden værdipuljen kunne andel</w:t>
      </w:r>
      <w:r w:rsidR="00D05AE3">
        <w:rPr>
          <w:rFonts w:ascii="Verdana" w:hAnsi="Verdana" w:cs="Arial"/>
          <w:sz w:val="20"/>
          <w:szCs w:val="20"/>
        </w:rPr>
        <w:t>s</w:t>
      </w:r>
      <w:r w:rsidR="00560E4C">
        <w:rPr>
          <w:rFonts w:ascii="Verdana" w:hAnsi="Verdana" w:cs="Arial"/>
          <w:sz w:val="20"/>
          <w:szCs w:val="20"/>
        </w:rPr>
        <w:t>haverne glæde sig over en</w:t>
      </w:r>
      <w:r w:rsidR="009E2222">
        <w:rPr>
          <w:rFonts w:ascii="Verdana" w:hAnsi="Verdana" w:cs="Arial"/>
          <w:sz w:val="20"/>
          <w:szCs w:val="20"/>
        </w:rPr>
        <w:t xml:space="preserve"> </w:t>
      </w:r>
      <w:r w:rsidR="00560E4C">
        <w:rPr>
          <w:rFonts w:ascii="Verdana" w:hAnsi="Verdana" w:cs="Arial"/>
          <w:sz w:val="20"/>
          <w:szCs w:val="20"/>
        </w:rPr>
        <w:t>rabatudbetaling på 69 mio. kroner.</w:t>
      </w:r>
      <w:r w:rsidR="00DC5DD2">
        <w:rPr>
          <w:rFonts w:ascii="Verdana" w:hAnsi="Verdana" w:cs="Arial"/>
          <w:sz w:val="20"/>
          <w:szCs w:val="20"/>
        </w:rPr>
        <w:t xml:space="preserve"> </w:t>
      </w:r>
    </w:p>
    <w:p w:rsidR="00DD6599" w:rsidRDefault="0086224D" w:rsidP="006D7C0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Selskabets formand Eva R</w:t>
      </w:r>
      <w:r w:rsidR="00F358CE">
        <w:rPr>
          <w:rFonts w:ascii="Verdana" w:hAnsi="Verdana" w:cs="Arial"/>
          <w:sz w:val="20"/>
          <w:szCs w:val="20"/>
        </w:rPr>
        <w:t>yberg glæder sig over årets resultat, og vil</w:t>
      </w:r>
      <w:r w:rsidR="006A529C">
        <w:rPr>
          <w:rFonts w:ascii="Verdana" w:hAnsi="Verdana" w:cs="Arial"/>
          <w:sz w:val="20"/>
          <w:szCs w:val="20"/>
        </w:rPr>
        <w:t xml:space="preserve"> også</w:t>
      </w:r>
      <w:r w:rsidR="00BF2C36">
        <w:rPr>
          <w:rFonts w:ascii="Verdana" w:hAnsi="Verdana" w:cs="Arial"/>
          <w:sz w:val="20"/>
          <w:szCs w:val="20"/>
        </w:rPr>
        <w:t xml:space="preserve"> benytte lejligheden til at takke den afgående direktør</w:t>
      </w:r>
      <w:r w:rsidR="005A4313">
        <w:rPr>
          <w:rFonts w:ascii="Verdana" w:hAnsi="Verdana" w:cs="Arial"/>
          <w:sz w:val="20"/>
          <w:szCs w:val="20"/>
        </w:rPr>
        <w:t xml:space="preserve"> Søren Sørensen for at sikre en sund</w:t>
      </w:r>
      <w:r w:rsidR="00D22327">
        <w:rPr>
          <w:rFonts w:ascii="Verdana" w:hAnsi="Verdana" w:cs="Arial"/>
          <w:sz w:val="20"/>
          <w:szCs w:val="20"/>
        </w:rPr>
        <w:t xml:space="preserve"> forretning og et godt resultat på året.</w:t>
      </w:r>
    </w:p>
    <w:p w:rsidR="007F5E90" w:rsidRDefault="0086224D" w:rsidP="006D7C0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”NRGi</w:t>
      </w:r>
      <w:r w:rsidR="00215B21">
        <w:rPr>
          <w:rFonts w:ascii="Verdana" w:hAnsi="Verdana" w:cs="Arial"/>
          <w:sz w:val="20"/>
          <w:szCs w:val="20"/>
        </w:rPr>
        <w:t xml:space="preserve"> er nået langt på den strategiske rejse mo</w:t>
      </w:r>
      <w:r>
        <w:rPr>
          <w:rFonts w:ascii="Verdana" w:hAnsi="Verdana" w:cs="Arial"/>
          <w:sz w:val="20"/>
          <w:szCs w:val="20"/>
        </w:rPr>
        <w:t>d 2020,</w:t>
      </w:r>
      <w:r w:rsidR="00215B21">
        <w:rPr>
          <w:rFonts w:ascii="Verdana" w:hAnsi="Verdana" w:cs="Arial"/>
          <w:sz w:val="20"/>
          <w:szCs w:val="20"/>
        </w:rPr>
        <w:t xml:space="preserve"> og</w:t>
      </w:r>
      <w:r w:rsidR="000C77CB">
        <w:rPr>
          <w:rFonts w:ascii="Verdana" w:hAnsi="Verdana" w:cs="Arial"/>
          <w:sz w:val="20"/>
          <w:szCs w:val="20"/>
        </w:rPr>
        <w:t xml:space="preserve"> der</w:t>
      </w:r>
      <w:r w:rsidR="00215B21">
        <w:rPr>
          <w:rFonts w:ascii="Verdana" w:hAnsi="Verdana" w:cs="Arial"/>
          <w:sz w:val="20"/>
          <w:szCs w:val="20"/>
        </w:rPr>
        <w:t xml:space="preserve"> er nu</w:t>
      </w:r>
      <w:r w:rsidR="000C77CB">
        <w:rPr>
          <w:rFonts w:ascii="Verdana" w:hAnsi="Verdana" w:cs="Arial"/>
          <w:sz w:val="20"/>
          <w:szCs w:val="20"/>
        </w:rPr>
        <w:t xml:space="preserve"> skabt et solidt fundame</w:t>
      </w:r>
      <w:r w:rsidR="005A4313">
        <w:rPr>
          <w:rFonts w:ascii="Verdana" w:hAnsi="Verdana" w:cs="Arial"/>
          <w:sz w:val="20"/>
          <w:szCs w:val="20"/>
        </w:rPr>
        <w:t>nt for at indfri selskabets langsigtede målsætninger</w:t>
      </w:r>
      <w:r w:rsidR="000C77CB">
        <w:rPr>
          <w:rFonts w:ascii="Verdana" w:hAnsi="Verdana" w:cs="Arial"/>
          <w:sz w:val="20"/>
          <w:szCs w:val="20"/>
        </w:rPr>
        <w:t xml:space="preserve"> til gavn</w:t>
      </w:r>
      <w:r w:rsidR="005A4313">
        <w:rPr>
          <w:rFonts w:ascii="Verdana" w:hAnsi="Verdana" w:cs="Arial"/>
          <w:sz w:val="20"/>
          <w:szCs w:val="20"/>
        </w:rPr>
        <w:t xml:space="preserve"> for selskabets andelshavere. </w:t>
      </w:r>
      <w:r w:rsidR="00BF2C36">
        <w:rPr>
          <w:rFonts w:ascii="Verdana" w:hAnsi="Verdana" w:cs="Arial"/>
          <w:sz w:val="20"/>
          <w:szCs w:val="20"/>
        </w:rPr>
        <w:t>Søren Sørensen</w:t>
      </w:r>
      <w:r w:rsidR="005A4313">
        <w:rPr>
          <w:rFonts w:ascii="Verdana" w:hAnsi="Verdana" w:cs="Arial"/>
          <w:sz w:val="20"/>
          <w:szCs w:val="20"/>
        </w:rPr>
        <w:t xml:space="preserve"> (</w:t>
      </w:r>
      <w:r w:rsidR="009F208B">
        <w:rPr>
          <w:rFonts w:ascii="Verdana" w:hAnsi="Verdana" w:cs="Arial"/>
          <w:sz w:val="20"/>
          <w:szCs w:val="20"/>
        </w:rPr>
        <w:t xml:space="preserve">afgående </w:t>
      </w:r>
      <w:r w:rsidR="005A4313">
        <w:rPr>
          <w:rFonts w:ascii="Verdana" w:hAnsi="Verdana" w:cs="Arial"/>
          <w:sz w:val="20"/>
          <w:szCs w:val="20"/>
        </w:rPr>
        <w:t>adm. dir)</w:t>
      </w:r>
      <w:r w:rsidR="009F208B">
        <w:rPr>
          <w:rFonts w:ascii="Verdana" w:hAnsi="Verdana" w:cs="Arial"/>
          <w:sz w:val="20"/>
          <w:szCs w:val="20"/>
        </w:rPr>
        <w:t xml:space="preserve"> har holdt fanen højt og</w:t>
      </w:r>
      <w:r w:rsidR="00BF2C36">
        <w:rPr>
          <w:rFonts w:ascii="Verdana" w:hAnsi="Verdana" w:cs="Arial"/>
          <w:sz w:val="20"/>
          <w:szCs w:val="20"/>
        </w:rPr>
        <w:t xml:space="preserve"> efterlader en særdeles sund forretning og en tung arv at løfte for </w:t>
      </w:r>
      <w:r w:rsidR="006C6B77">
        <w:rPr>
          <w:rFonts w:ascii="Verdana" w:hAnsi="Verdana" w:cs="Arial"/>
          <w:sz w:val="20"/>
          <w:szCs w:val="20"/>
        </w:rPr>
        <w:t>den</w:t>
      </w:r>
      <w:r w:rsidR="005A4313">
        <w:rPr>
          <w:rFonts w:ascii="Verdana" w:hAnsi="Verdana" w:cs="Arial"/>
          <w:sz w:val="20"/>
          <w:szCs w:val="20"/>
        </w:rPr>
        <w:t xml:space="preserve"> </w:t>
      </w:r>
      <w:r w:rsidR="00BF2C36">
        <w:rPr>
          <w:rFonts w:ascii="Verdana" w:hAnsi="Verdana" w:cs="Arial"/>
          <w:sz w:val="20"/>
          <w:szCs w:val="20"/>
        </w:rPr>
        <w:t xml:space="preserve">kommende </w:t>
      </w:r>
      <w:r w:rsidR="006C6B77">
        <w:rPr>
          <w:rFonts w:ascii="Verdana" w:hAnsi="Verdana" w:cs="Arial"/>
          <w:sz w:val="20"/>
          <w:szCs w:val="20"/>
        </w:rPr>
        <w:t xml:space="preserve">adm. </w:t>
      </w:r>
      <w:r w:rsidR="00BF2C36">
        <w:rPr>
          <w:rFonts w:ascii="Verdana" w:hAnsi="Verdana" w:cs="Arial"/>
          <w:sz w:val="20"/>
          <w:szCs w:val="20"/>
        </w:rPr>
        <w:t>direktør,</w:t>
      </w:r>
      <w:r w:rsidR="000C77C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”</w:t>
      </w:r>
      <w:r w:rsidR="0091006C">
        <w:rPr>
          <w:rFonts w:ascii="Verdana" w:hAnsi="Verdana" w:cs="Arial"/>
          <w:sz w:val="20"/>
          <w:szCs w:val="20"/>
        </w:rPr>
        <w:t xml:space="preserve"> fortæller Eva Ryberg.</w:t>
      </w:r>
    </w:p>
    <w:p w:rsidR="005A313C" w:rsidRDefault="005A313C" w:rsidP="006D7C0F">
      <w:pPr>
        <w:rPr>
          <w:rFonts w:ascii="Verdana" w:hAnsi="Verdana" w:cs="Arial"/>
          <w:b/>
          <w:sz w:val="20"/>
          <w:szCs w:val="20"/>
        </w:rPr>
      </w:pPr>
    </w:p>
    <w:p w:rsidR="005A313C" w:rsidRDefault="005A313C" w:rsidP="006D7C0F">
      <w:pPr>
        <w:rPr>
          <w:rFonts w:ascii="Verdana" w:hAnsi="Verdana" w:cs="Arial"/>
          <w:b/>
          <w:sz w:val="20"/>
          <w:szCs w:val="20"/>
        </w:rPr>
      </w:pPr>
    </w:p>
    <w:p w:rsidR="005A313C" w:rsidRDefault="005A313C" w:rsidP="006D7C0F">
      <w:pPr>
        <w:rPr>
          <w:rFonts w:ascii="Verdana" w:hAnsi="Verdana" w:cs="Arial"/>
          <w:b/>
          <w:sz w:val="20"/>
          <w:szCs w:val="20"/>
        </w:rPr>
      </w:pPr>
    </w:p>
    <w:p w:rsidR="005A4313" w:rsidRDefault="001215A6" w:rsidP="006D7C0F">
      <w:pPr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sz w:val="20"/>
          <w:szCs w:val="20"/>
        </w:rPr>
        <w:lastRenderedPageBreak/>
        <w:t>Nøgletal</w:t>
      </w:r>
    </w:p>
    <w:tbl>
      <w:tblPr>
        <w:tblW w:w="84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0"/>
        <w:gridCol w:w="996"/>
        <w:gridCol w:w="996"/>
        <w:gridCol w:w="996"/>
        <w:gridCol w:w="996"/>
        <w:gridCol w:w="996"/>
      </w:tblGrid>
      <w:tr w:rsidR="001215A6" w:rsidRPr="001215A6" w:rsidTr="001215A6">
        <w:trPr>
          <w:trHeight w:val="856"/>
        </w:trPr>
        <w:tc>
          <w:tcPr>
            <w:tcW w:w="3680" w:type="dxa"/>
            <w:tcBorders>
              <w:top w:val="single" w:sz="8" w:space="0" w:color="505050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15A6" w:rsidRPr="001215A6" w:rsidRDefault="001215A6" w:rsidP="001215A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984806" w:themeColor="accent6" w:themeShade="80"/>
                <w:kern w:val="24"/>
                <w:sz w:val="24"/>
                <w:szCs w:val="24"/>
                <w:lang w:eastAsia="da-DK"/>
              </w:rPr>
              <w:t>R2016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984806" w:themeColor="accent6" w:themeShade="80"/>
                <w:kern w:val="24"/>
                <w:sz w:val="24"/>
                <w:szCs w:val="24"/>
                <w:lang w:eastAsia="da-DK"/>
              </w:rPr>
              <w:t>B2016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984806" w:themeColor="accent6" w:themeShade="80"/>
                <w:kern w:val="24"/>
                <w:sz w:val="24"/>
                <w:szCs w:val="24"/>
                <w:lang w:eastAsia="da-DK"/>
              </w:rPr>
              <w:t>R2015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984806" w:themeColor="accent6" w:themeShade="80"/>
                <w:kern w:val="24"/>
                <w:sz w:val="24"/>
                <w:szCs w:val="24"/>
                <w:lang w:eastAsia="da-DK"/>
              </w:rPr>
              <w:t>R2014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984806" w:themeColor="accent6" w:themeShade="80"/>
                <w:kern w:val="24"/>
                <w:sz w:val="24"/>
                <w:szCs w:val="24"/>
                <w:lang w:eastAsia="da-DK"/>
              </w:rPr>
              <w:t>R2013</w:t>
            </w:r>
          </w:p>
        </w:tc>
      </w:tr>
      <w:tr w:rsidR="001215A6" w:rsidRPr="001215A6" w:rsidTr="001215A6">
        <w:trPr>
          <w:trHeight w:val="349"/>
        </w:trPr>
        <w:tc>
          <w:tcPr>
            <w:tcW w:w="3680" w:type="dxa"/>
            <w:tcBorders>
              <w:top w:val="single" w:sz="8" w:space="0" w:color="505050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349" w:lineRule="atLeas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Omsætning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349" w:lineRule="atLeast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3D484E"/>
                <w:kern w:val="24"/>
                <w:sz w:val="24"/>
                <w:szCs w:val="24"/>
                <w:lang w:eastAsia="da-DK"/>
              </w:rPr>
              <w:t>1.765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349" w:lineRule="atLeast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2.013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349" w:lineRule="atLeast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2.250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349" w:lineRule="atLeast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2.300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349" w:lineRule="atLeast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2.326</w:t>
            </w:r>
          </w:p>
        </w:tc>
      </w:tr>
      <w:tr w:rsidR="001215A6" w:rsidRPr="001215A6" w:rsidTr="001215A6">
        <w:trPr>
          <w:trHeight w:val="60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Resultat før renter og afskrivninger (EBITDA)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3D484E"/>
                <w:kern w:val="24"/>
                <w:sz w:val="24"/>
                <w:szCs w:val="24"/>
                <w:lang w:eastAsia="da-DK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227</w:t>
            </w:r>
          </w:p>
        </w:tc>
      </w:tr>
      <w:tr w:rsidR="001215A6" w:rsidRPr="001215A6" w:rsidTr="001215A6">
        <w:trPr>
          <w:trHeight w:val="60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Resultat af primær drift (EBIT)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3D484E"/>
                <w:kern w:val="24"/>
                <w:sz w:val="24"/>
                <w:szCs w:val="24"/>
                <w:lang w:eastAsia="da-DK"/>
              </w:rPr>
              <w:t xml:space="preserve">     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A86" w:rsidRDefault="00EF3A8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</w:pPr>
          </w:p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A86" w:rsidRDefault="00EF3A8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</w:pPr>
          </w:p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A86" w:rsidRDefault="00EF3A8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</w:pPr>
          </w:p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A86" w:rsidRDefault="00EF3A8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</w:pPr>
          </w:p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25</w:t>
            </w:r>
          </w:p>
        </w:tc>
      </w:tr>
      <w:tr w:rsidR="001215A6" w:rsidRPr="001215A6" w:rsidTr="001215A6">
        <w:trPr>
          <w:trHeight w:val="425"/>
        </w:trPr>
        <w:tc>
          <w:tcPr>
            <w:tcW w:w="3680" w:type="dxa"/>
            <w:tcBorders>
              <w:top w:val="nil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500" w:lineRule="exac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Årets resultat før skat (EBT)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b/>
                <w:bCs/>
                <w:color w:val="3D484E"/>
                <w:kern w:val="24"/>
                <w:sz w:val="24"/>
                <w:szCs w:val="24"/>
                <w:lang w:eastAsia="da-DK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50505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15A6" w:rsidRPr="001215A6" w:rsidRDefault="001215A6" w:rsidP="001215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1215A6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da-DK"/>
              </w:rPr>
              <w:t>192</w:t>
            </w:r>
          </w:p>
        </w:tc>
      </w:tr>
    </w:tbl>
    <w:p w:rsidR="001215A6" w:rsidRDefault="001215A6" w:rsidP="006D7C0F">
      <w:pPr>
        <w:rPr>
          <w:rFonts w:ascii="Verdana" w:hAnsi="Verdana" w:cs="Arial"/>
          <w:b/>
          <w:sz w:val="20"/>
          <w:szCs w:val="20"/>
        </w:rPr>
      </w:pPr>
    </w:p>
    <w:p w:rsidR="00F727A6" w:rsidRPr="005A4313" w:rsidRDefault="00AF58C0" w:rsidP="006D7C0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Læs årsrapporten her</w:t>
      </w:r>
      <w:r w:rsidR="00F727A6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 xml:space="preserve"> (</w:t>
      </w:r>
      <w:r w:rsidR="00A67821">
        <w:rPr>
          <w:rFonts w:ascii="Verdana" w:hAnsi="Verdana" w:cs="Arial"/>
          <w:b/>
          <w:sz w:val="20"/>
          <w:szCs w:val="20"/>
        </w:rPr>
        <w:t>Link når bestyrelsen</w:t>
      </w:r>
      <w:r>
        <w:rPr>
          <w:rFonts w:ascii="Verdana" w:hAnsi="Verdana" w:cs="Arial"/>
          <w:b/>
          <w:sz w:val="20"/>
          <w:szCs w:val="20"/>
        </w:rPr>
        <w:t xml:space="preserve"> har godkendt</w:t>
      </w:r>
      <w:r w:rsidR="00761BA0">
        <w:rPr>
          <w:rFonts w:ascii="Verdana" w:hAnsi="Verdana" w:cs="Arial"/>
          <w:b/>
          <w:sz w:val="20"/>
          <w:szCs w:val="20"/>
        </w:rPr>
        <w:t xml:space="preserve"> regnskabet</w:t>
      </w:r>
      <w:r>
        <w:rPr>
          <w:rFonts w:ascii="Verdana" w:hAnsi="Verdana" w:cs="Arial"/>
          <w:b/>
          <w:sz w:val="20"/>
          <w:szCs w:val="20"/>
        </w:rPr>
        <w:t>)</w:t>
      </w:r>
    </w:p>
    <w:p w:rsidR="005A4313" w:rsidRDefault="005A4313" w:rsidP="006D7C0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For mere information, kontakt: </w:t>
      </w:r>
      <w:r w:rsidR="00F727A6">
        <w:rPr>
          <w:rFonts w:ascii="Verdana" w:hAnsi="Verdana" w:cs="Arial"/>
          <w:sz w:val="20"/>
          <w:szCs w:val="20"/>
        </w:rPr>
        <w:t>Kommunikationschef, Simon Karsø Sika@nrgi.dk/</w:t>
      </w:r>
      <w:proofErr w:type="gramStart"/>
      <w:r w:rsidR="00F727A6">
        <w:rPr>
          <w:rFonts w:ascii="Verdana" w:hAnsi="Verdana" w:cs="Arial"/>
          <w:sz w:val="20"/>
          <w:szCs w:val="20"/>
        </w:rPr>
        <w:t>25357429</w:t>
      </w:r>
      <w:proofErr w:type="gramEnd"/>
    </w:p>
    <w:p w:rsidR="0086224D" w:rsidRPr="00DD6599" w:rsidRDefault="0086224D" w:rsidP="006D7C0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:rsidR="006D7C0F" w:rsidRDefault="006D7C0F" w:rsidP="006D7C0F">
      <w:pPr>
        <w:rPr>
          <w:rFonts w:ascii="Verdana" w:hAnsi="Verdana" w:cs="Arial"/>
          <w:sz w:val="20"/>
          <w:szCs w:val="20"/>
        </w:rPr>
      </w:pPr>
    </w:p>
    <w:p w:rsidR="00BF216C" w:rsidRDefault="00BF216C">
      <w:pPr>
        <w:rPr>
          <w:rFonts w:ascii="Arial" w:hAnsi="Arial" w:cs="Arial"/>
        </w:rPr>
      </w:pPr>
    </w:p>
    <w:p w:rsidR="00F97473" w:rsidRDefault="00750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7A20">
        <w:rPr>
          <w:rFonts w:ascii="Arial" w:hAnsi="Arial" w:cs="Arial"/>
        </w:rPr>
        <w:t xml:space="preserve"> </w:t>
      </w:r>
      <w:r w:rsidR="009E3659">
        <w:rPr>
          <w:rFonts w:ascii="Arial" w:hAnsi="Arial" w:cs="Arial"/>
        </w:rPr>
        <w:t xml:space="preserve"> </w:t>
      </w:r>
    </w:p>
    <w:p w:rsidR="00EC2018" w:rsidRPr="00A20048" w:rsidRDefault="002F44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EC2018" w:rsidRPr="00A200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18"/>
    <w:rsid w:val="00070478"/>
    <w:rsid w:val="0007610F"/>
    <w:rsid w:val="00077A20"/>
    <w:rsid w:val="000C37A8"/>
    <w:rsid w:val="000C75D6"/>
    <w:rsid w:val="000C77CB"/>
    <w:rsid w:val="001215A6"/>
    <w:rsid w:val="00135289"/>
    <w:rsid w:val="001E1FC1"/>
    <w:rsid w:val="0021363A"/>
    <w:rsid w:val="00215B21"/>
    <w:rsid w:val="00237D39"/>
    <w:rsid w:val="00283363"/>
    <w:rsid w:val="002920F2"/>
    <w:rsid w:val="002A7294"/>
    <w:rsid w:val="002D1DD3"/>
    <w:rsid w:val="002E4345"/>
    <w:rsid w:val="002F447C"/>
    <w:rsid w:val="00374CB1"/>
    <w:rsid w:val="003833F0"/>
    <w:rsid w:val="003B6585"/>
    <w:rsid w:val="00480582"/>
    <w:rsid w:val="00497C6F"/>
    <w:rsid w:val="004B5030"/>
    <w:rsid w:val="004B7671"/>
    <w:rsid w:val="004F2A81"/>
    <w:rsid w:val="00511CF6"/>
    <w:rsid w:val="00560E4C"/>
    <w:rsid w:val="00562561"/>
    <w:rsid w:val="005773A8"/>
    <w:rsid w:val="005A313C"/>
    <w:rsid w:val="005A4313"/>
    <w:rsid w:val="005B550E"/>
    <w:rsid w:val="005E2EC4"/>
    <w:rsid w:val="005E6C9A"/>
    <w:rsid w:val="0063379F"/>
    <w:rsid w:val="006A529C"/>
    <w:rsid w:val="006C6B77"/>
    <w:rsid w:val="006D506D"/>
    <w:rsid w:val="006D7C0F"/>
    <w:rsid w:val="006F659B"/>
    <w:rsid w:val="00731E23"/>
    <w:rsid w:val="00750FA6"/>
    <w:rsid w:val="00761BA0"/>
    <w:rsid w:val="00763B4A"/>
    <w:rsid w:val="007B438A"/>
    <w:rsid w:val="007F5E90"/>
    <w:rsid w:val="008264EF"/>
    <w:rsid w:val="00832384"/>
    <w:rsid w:val="0086224D"/>
    <w:rsid w:val="008847CF"/>
    <w:rsid w:val="008C35B6"/>
    <w:rsid w:val="0091006C"/>
    <w:rsid w:val="00927D95"/>
    <w:rsid w:val="00993252"/>
    <w:rsid w:val="009B773F"/>
    <w:rsid w:val="009E2222"/>
    <w:rsid w:val="009E3659"/>
    <w:rsid w:val="009F208B"/>
    <w:rsid w:val="00A006F9"/>
    <w:rsid w:val="00A20048"/>
    <w:rsid w:val="00A22EED"/>
    <w:rsid w:val="00A67821"/>
    <w:rsid w:val="00AC6F44"/>
    <w:rsid w:val="00AF58C0"/>
    <w:rsid w:val="00B3378A"/>
    <w:rsid w:val="00B509BD"/>
    <w:rsid w:val="00BC00BF"/>
    <w:rsid w:val="00BD2DAE"/>
    <w:rsid w:val="00BE53AB"/>
    <w:rsid w:val="00BF216C"/>
    <w:rsid w:val="00BF2C36"/>
    <w:rsid w:val="00C507CB"/>
    <w:rsid w:val="00C64DA0"/>
    <w:rsid w:val="00CD13B0"/>
    <w:rsid w:val="00CE0BC7"/>
    <w:rsid w:val="00D05AE3"/>
    <w:rsid w:val="00D13C71"/>
    <w:rsid w:val="00D22327"/>
    <w:rsid w:val="00D77BBC"/>
    <w:rsid w:val="00D833C3"/>
    <w:rsid w:val="00DB3543"/>
    <w:rsid w:val="00DC5DD2"/>
    <w:rsid w:val="00DD6599"/>
    <w:rsid w:val="00DE0DA0"/>
    <w:rsid w:val="00DF0F4E"/>
    <w:rsid w:val="00E014C5"/>
    <w:rsid w:val="00E319FF"/>
    <w:rsid w:val="00E357A0"/>
    <w:rsid w:val="00E56499"/>
    <w:rsid w:val="00EC2018"/>
    <w:rsid w:val="00EE35D9"/>
    <w:rsid w:val="00EF3A86"/>
    <w:rsid w:val="00EF41D7"/>
    <w:rsid w:val="00F23BBA"/>
    <w:rsid w:val="00F358CE"/>
    <w:rsid w:val="00F61487"/>
    <w:rsid w:val="00F71698"/>
    <w:rsid w:val="00F727A6"/>
    <w:rsid w:val="00F94914"/>
    <w:rsid w:val="00F97473"/>
    <w:rsid w:val="00FB2968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6DEB-EAEC-4660-A15D-5C73AA22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449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NRGi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Rasmussen</dc:creator>
  <cp:lastModifiedBy>Simon Karsø</cp:lastModifiedBy>
  <cp:revision>9</cp:revision>
  <dcterms:created xsi:type="dcterms:W3CDTF">2017-04-24T06:48:00Z</dcterms:created>
  <dcterms:modified xsi:type="dcterms:W3CDTF">2017-04-24T08:30:00Z</dcterms:modified>
</cp:coreProperties>
</file>