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53" w:rsidRDefault="00862753" w:rsidP="00670F67">
      <w:pPr>
        <w:pStyle w:val="Overskrift1"/>
      </w:pPr>
      <w:r>
        <w:rPr>
          <w:noProof/>
          <w:lang w:eastAsia="da-DK"/>
        </w:rPr>
        <w:drawing>
          <wp:inline distT="0" distB="0" distL="0" distR="0">
            <wp:extent cx="6120130" cy="4074675"/>
            <wp:effectExtent l="0" t="0" r="0" b="2540"/>
            <wp:docPr id="1" name="Billede 1" descr="C:\Users\joacim\Downloads\4140267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cim\Downloads\41402670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8F3" w:rsidRDefault="00670F67" w:rsidP="00670F67">
      <w:pPr>
        <w:pStyle w:val="Overskrift1"/>
      </w:pPr>
      <w:r>
        <w:t>Sommeren i Kastrup &amp; Billund Lufthavne</w:t>
      </w:r>
    </w:p>
    <w:p w:rsidR="009E6A36" w:rsidRDefault="00FD267C" w:rsidP="00670F67">
      <w:r>
        <w:br/>
      </w:r>
      <w:r w:rsidR="00670F67">
        <w:t>Det har været en travl sommer i Kastrup Lufthavn, men de store flyselskaber med mange afgange og ankomster i Danmark har klaret sig flot. SAS har siden midt maj udført over 26.000 afgange og ankomster i hhv. Kastrup og Bil</w:t>
      </w:r>
      <w:r w:rsidR="00572AAC">
        <w:t>l</w:t>
      </w:r>
      <w:r w:rsidR="00670F67">
        <w:t>und lufthavne, med blot 215 afgange, der var enten aflys</w:t>
      </w:r>
      <w:r w:rsidR="009E6A36">
        <w:t>t eller over 2 timer forsinkede, svarende til e</w:t>
      </w:r>
      <w:r w:rsidR="002503AE">
        <w:t xml:space="preserve">n </w:t>
      </w:r>
      <w:proofErr w:type="gramStart"/>
      <w:r w:rsidR="002503AE">
        <w:t>forsinkelses-%</w:t>
      </w:r>
      <w:proofErr w:type="gramEnd"/>
      <w:r w:rsidR="002503AE">
        <w:t xml:space="preserve"> på blot 0,</w:t>
      </w:r>
      <w:r w:rsidR="009E6A36">
        <w:t>82%.</w:t>
      </w:r>
    </w:p>
    <w:p w:rsidR="009E6A36" w:rsidRDefault="009E6A36" w:rsidP="00670F67">
      <w:proofErr w:type="spellStart"/>
      <w:r>
        <w:t>Norwegian</w:t>
      </w:r>
      <w:proofErr w:type="spellEnd"/>
      <w:r>
        <w:t xml:space="preserve"> har betydeligt større udfordringer</w:t>
      </w:r>
      <w:r w:rsidR="00F31A19">
        <w:t xml:space="preserve"> med </w:t>
      </w:r>
      <w:hyperlink r:id="rId6" w:history="1">
        <w:r w:rsidR="00F31A19" w:rsidRPr="0053028A">
          <w:rPr>
            <w:rStyle w:val="Hyperlink"/>
          </w:rPr>
          <w:t>flyforsinkelser</w:t>
        </w:r>
      </w:hyperlink>
      <w:r>
        <w:t>. I samme periode har de haft ca</w:t>
      </w:r>
      <w:r w:rsidR="00332730">
        <w:t>.</w:t>
      </w:r>
      <w:r>
        <w:t xml:space="preserve"> 10.000 afgange og ankomster i de lufthavne, men med hele 190 afgange/ankomster der enten</w:t>
      </w:r>
      <w:r w:rsidR="00572AAC">
        <w:t xml:space="preserve"> b</w:t>
      </w:r>
      <w:r>
        <w:t xml:space="preserve">lev aflyst eller </w:t>
      </w:r>
      <w:r w:rsidR="00572AAC">
        <w:t>var forsin</w:t>
      </w:r>
      <w:r>
        <w:t>k</w:t>
      </w:r>
      <w:r w:rsidR="00572AAC">
        <w:t>e</w:t>
      </w:r>
      <w:r>
        <w:t>de over 2 timer, svar</w:t>
      </w:r>
      <w:r w:rsidR="002503AE">
        <w:t xml:space="preserve">ende til en </w:t>
      </w:r>
      <w:proofErr w:type="gramStart"/>
      <w:r w:rsidR="002503AE">
        <w:t>forsinkelses-%</w:t>
      </w:r>
      <w:proofErr w:type="gramEnd"/>
      <w:r w:rsidR="002503AE">
        <w:t xml:space="preserve"> på 1,</w:t>
      </w:r>
      <w:r>
        <w:t>8%, over dobbelt så høj som SAS.</w:t>
      </w:r>
    </w:p>
    <w:p w:rsidR="009E6A36" w:rsidRDefault="00FF239A" w:rsidP="00670F67">
      <w:r>
        <w:t xml:space="preserve">Det </w:t>
      </w:r>
      <w:r w:rsidR="00CE65D1">
        <w:t>s</w:t>
      </w:r>
      <w:r>
        <w:t>lov</w:t>
      </w:r>
      <w:r w:rsidR="00B27674">
        <w:t>e</w:t>
      </w:r>
      <w:r>
        <w:t>n</w:t>
      </w:r>
      <w:r w:rsidR="00B27674">
        <w:t xml:space="preserve">ske flyselskab </w:t>
      </w:r>
      <w:proofErr w:type="spellStart"/>
      <w:r w:rsidR="00B27674">
        <w:t>Adria</w:t>
      </w:r>
      <w:proofErr w:type="spellEnd"/>
      <w:r w:rsidR="00B27674">
        <w:t xml:space="preserve"> tager dog bundrekorden, med især mange aflyste fly over sommeren. Ud af 20</w:t>
      </w:r>
      <w:r w:rsidR="008C5BA7">
        <w:t>4 planlagte flyvninger, blev h</w:t>
      </w:r>
      <w:r w:rsidR="00B27674">
        <w:t>el</w:t>
      </w:r>
      <w:r w:rsidR="008C5BA7">
        <w:t>e</w:t>
      </w:r>
      <w:r w:rsidR="00B27674">
        <w:t xml:space="preserve"> 32 af dem forsinkede eller hel</w:t>
      </w:r>
      <w:r w:rsidR="00056197">
        <w:t>t</w:t>
      </w:r>
      <w:r w:rsidR="00B27674">
        <w:t xml:space="preserve"> aflyst. Især afgangen til </w:t>
      </w:r>
      <w:proofErr w:type="spellStart"/>
      <w:r w:rsidR="00B27674">
        <w:t>Pristina</w:t>
      </w:r>
      <w:proofErr w:type="spellEnd"/>
      <w:r w:rsidR="00B27674">
        <w:t xml:space="preserve"> i Kosovo blev aflyst ofte hen over sommeren.</w:t>
      </w:r>
    </w:p>
    <w:p w:rsidR="00B27674" w:rsidRDefault="005A2C83" w:rsidP="00670F67">
      <w:r>
        <w:t>Ai</w:t>
      </w:r>
      <w:r w:rsidR="008C5BA7">
        <w:t>r China International tog helle</w:t>
      </w:r>
      <w:r>
        <w:t>r</w:t>
      </w:r>
      <w:r w:rsidR="008C5BA7">
        <w:t xml:space="preserve"> </w:t>
      </w:r>
      <w:r w:rsidR="008C15C4">
        <w:t>ikke h</w:t>
      </w:r>
      <w:r>
        <w:t>e</w:t>
      </w:r>
      <w:r w:rsidR="008C15C4">
        <w:t>l</w:t>
      </w:r>
      <w:r>
        <w:t xml:space="preserve">digt ud, med 6 forsinkelser/aflysninger </w:t>
      </w:r>
      <w:r w:rsidR="008C5BA7">
        <w:t>ud af 106 planlagte flyvninger.</w:t>
      </w:r>
    </w:p>
    <w:p w:rsidR="00F30F9C" w:rsidRDefault="00F30F9C" w:rsidP="00670F67">
      <w:r>
        <w:t>Sådan klarede de store selskaber sig i Kastr</w:t>
      </w:r>
      <w:r w:rsidR="00D6082B">
        <w:t>u</w:t>
      </w:r>
      <w:r>
        <w:t>p og Billund: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30F9C" w:rsidTr="00F30F9C">
        <w:tc>
          <w:tcPr>
            <w:tcW w:w="3259" w:type="dxa"/>
          </w:tcPr>
          <w:p w:rsidR="00F30F9C" w:rsidRDefault="00F30F9C" w:rsidP="00670F67">
            <w:r>
              <w:t>SAS</w:t>
            </w:r>
          </w:p>
        </w:tc>
        <w:tc>
          <w:tcPr>
            <w:tcW w:w="3259" w:type="dxa"/>
          </w:tcPr>
          <w:p w:rsidR="00F30F9C" w:rsidRDefault="00F30F9C" w:rsidP="004B2A2E">
            <w:pPr>
              <w:jc w:val="right"/>
            </w:pPr>
            <w:r>
              <w:t>26.148</w:t>
            </w:r>
          </w:p>
        </w:tc>
        <w:tc>
          <w:tcPr>
            <w:tcW w:w="3260" w:type="dxa"/>
          </w:tcPr>
          <w:p w:rsidR="00F30F9C" w:rsidRDefault="006F02C9" w:rsidP="004B2A2E">
            <w:pPr>
              <w:jc w:val="right"/>
            </w:pPr>
            <w:r>
              <w:t>215 (0,</w:t>
            </w:r>
            <w:proofErr w:type="gramStart"/>
            <w:r w:rsidR="00F30F9C">
              <w:t>85%</w:t>
            </w:r>
            <w:proofErr w:type="gramEnd"/>
            <w:r w:rsidR="00F30F9C">
              <w:t>)</w:t>
            </w:r>
          </w:p>
        </w:tc>
      </w:tr>
      <w:tr w:rsidR="00F30F9C" w:rsidTr="00F30F9C">
        <w:tc>
          <w:tcPr>
            <w:tcW w:w="3259" w:type="dxa"/>
          </w:tcPr>
          <w:p w:rsidR="00F30F9C" w:rsidRDefault="00F30F9C" w:rsidP="00670F67">
            <w:proofErr w:type="spellStart"/>
            <w:r>
              <w:lastRenderedPageBreak/>
              <w:t>Norwegian</w:t>
            </w:r>
            <w:proofErr w:type="spellEnd"/>
          </w:p>
        </w:tc>
        <w:tc>
          <w:tcPr>
            <w:tcW w:w="3259" w:type="dxa"/>
          </w:tcPr>
          <w:p w:rsidR="00F30F9C" w:rsidRDefault="00F30F9C" w:rsidP="004B2A2E">
            <w:pPr>
              <w:jc w:val="right"/>
            </w:pPr>
            <w:r>
              <w:t>10.266</w:t>
            </w:r>
          </w:p>
        </w:tc>
        <w:tc>
          <w:tcPr>
            <w:tcW w:w="3260" w:type="dxa"/>
          </w:tcPr>
          <w:p w:rsidR="00F30F9C" w:rsidRDefault="006F02C9" w:rsidP="004B2A2E">
            <w:pPr>
              <w:jc w:val="right"/>
            </w:pPr>
            <w:r>
              <w:t>190 (1,</w:t>
            </w:r>
            <w:proofErr w:type="gramStart"/>
            <w:r w:rsidR="00F30F9C">
              <w:t>85%</w:t>
            </w:r>
            <w:proofErr w:type="gramEnd"/>
            <w:r w:rsidR="00F30F9C">
              <w:t>)</w:t>
            </w:r>
          </w:p>
        </w:tc>
      </w:tr>
      <w:tr w:rsidR="00F30F9C" w:rsidRPr="002D35F8" w:rsidTr="00F30F9C">
        <w:tc>
          <w:tcPr>
            <w:tcW w:w="3259" w:type="dxa"/>
          </w:tcPr>
          <w:p w:rsidR="00F30F9C" w:rsidRPr="002D35F8" w:rsidRDefault="00F30F9C" w:rsidP="00670F67">
            <w:pPr>
              <w:rPr>
                <w:lang w:val="en-US"/>
              </w:rPr>
            </w:pPr>
            <w:r w:rsidRPr="002D35F8">
              <w:rPr>
                <w:lang w:val="en-US"/>
              </w:rPr>
              <w:t>EasyJet</w:t>
            </w:r>
            <w:r w:rsidR="002D35F8" w:rsidRPr="002D35F8">
              <w:rPr>
                <w:lang w:val="en-US"/>
              </w:rPr>
              <w:t xml:space="preserve"> (</w:t>
            </w:r>
            <w:proofErr w:type="spellStart"/>
            <w:r w:rsidR="002D35F8" w:rsidRPr="002D35F8">
              <w:rPr>
                <w:lang w:val="en-US"/>
              </w:rPr>
              <w:t>inkl</w:t>
            </w:r>
            <w:proofErr w:type="spellEnd"/>
            <w:r w:rsidR="002D35F8" w:rsidRPr="002D35F8">
              <w:rPr>
                <w:lang w:val="en-US"/>
              </w:rPr>
              <w:t xml:space="preserve">. </w:t>
            </w:r>
            <w:r w:rsidR="002D35F8">
              <w:rPr>
                <w:lang w:val="en-US"/>
              </w:rPr>
              <w:t>Europe)</w:t>
            </w:r>
          </w:p>
        </w:tc>
        <w:tc>
          <w:tcPr>
            <w:tcW w:w="3259" w:type="dxa"/>
          </w:tcPr>
          <w:p w:rsidR="00F30F9C" w:rsidRPr="002D35F8" w:rsidRDefault="00F30F9C" w:rsidP="004B2A2E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2.793</w:t>
            </w:r>
          </w:p>
        </w:tc>
        <w:tc>
          <w:tcPr>
            <w:tcW w:w="3260" w:type="dxa"/>
          </w:tcPr>
          <w:p w:rsidR="00F30F9C" w:rsidRPr="002D35F8" w:rsidRDefault="00F30F9C" w:rsidP="006F02C9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46</w:t>
            </w:r>
            <w:r w:rsidR="002E372E">
              <w:rPr>
                <w:lang w:val="en-US"/>
              </w:rPr>
              <w:t xml:space="preserve"> (1</w:t>
            </w:r>
            <w:proofErr w:type="gramStart"/>
            <w:r w:rsidR="006F02C9">
              <w:rPr>
                <w:lang w:val="en-US"/>
              </w:rPr>
              <w:t>,</w:t>
            </w:r>
            <w:r w:rsidR="002E372E">
              <w:rPr>
                <w:lang w:val="en-US"/>
              </w:rPr>
              <w:t>6</w:t>
            </w:r>
            <w:proofErr w:type="gramEnd"/>
            <w:r w:rsidR="002E372E">
              <w:rPr>
                <w:lang w:val="en-US"/>
              </w:rPr>
              <w:t>%)</w:t>
            </w:r>
          </w:p>
        </w:tc>
      </w:tr>
      <w:tr w:rsidR="00F30F9C" w:rsidRPr="002D35F8" w:rsidTr="00F30F9C">
        <w:tc>
          <w:tcPr>
            <w:tcW w:w="3259" w:type="dxa"/>
          </w:tcPr>
          <w:p w:rsidR="00F30F9C" w:rsidRPr="002D35F8" w:rsidRDefault="00F30F9C" w:rsidP="00670F67">
            <w:pPr>
              <w:rPr>
                <w:lang w:val="en-US"/>
              </w:rPr>
            </w:pPr>
            <w:proofErr w:type="spellStart"/>
            <w:r w:rsidRPr="002D35F8">
              <w:rPr>
                <w:lang w:val="en-US"/>
              </w:rPr>
              <w:t>RyanAir</w:t>
            </w:r>
            <w:proofErr w:type="spellEnd"/>
          </w:p>
        </w:tc>
        <w:tc>
          <w:tcPr>
            <w:tcW w:w="3259" w:type="dxa"/>
          </w:tcPr>
          <w:p w:rsidR="00F30F9C" w:rsidRPr="002D35F8" w:rsidRDefault="00F30F9C" w:rsidP="004B2A2E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4.946</w:t>
            </w:r>
          </w:p>
        </w:tc>
        <w:tc>
          <w:tcPr>
            <w:tcW w:w="3260" w:type="dxa"/>
          </w:tcPr>
          <w:p w:rsidR="00F30F9C" w:rsidRPr="002D35F8" w:rsidRDefault="00F30F9C" w:rsidP="004B2A2E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29</w:t>
            </w:r>
            <w:r w:rsidR="006F02C9">
              <w:rPr>
                <w:lang w:val="en-US"/>
              </w:rPr>
              <w:t xml:space="preserve"> (0</w:t>
            </w:r>
            <w:proofErr w:type="gramStart"/>
            <w:r w:rsidR="006F02C9">
              <w:rPr>
                <w:lang w:val="en-US"/>
              </w:rPr>
              <w:t>,</w:t>
            </w:r>
            <w:r w:rsidR="002D35F8" w:rsidRPr="002D35F8">
              <w:rPr>
                <w:lang w:val="en-US"/>
              </w:rPr>
              <w:t>59</w:t>
            </w:r>
            <w:proofErr w:type="gramEnd"/>
            <w:r w:rsidR="002D35F8" w:rsidRPr="002D35F8">
              <w:rPr>
                <w:lang w:val="en-US"/>
              </w:rPr>
              <w:t>%)</w:t>
            </w:r>
          </w:p>
        </w:tc>
      </w:tr>
      <w:tr w:rsidR="00F30F9C" w:rsidRPr="002D35F8" w:rsidTr="00F30F9C">
        <w:tc>
          <w:tcPr>
            <w:tcW w:w="3259" w:type="dxa"/>
          </w:tcPr>
          <w:p w:rsidR="00F30F9C" w:rsidRPr="002D35F8" w:rsidRDefault="00F30F9C" w:rsidP="00670F67">
            <w:pPr>
              <w:rPr>
                <w:lang w:val="en-US"/>
              </w:rPr>
            </w:pPr>
            <w:r w:rsidRPr="002D35F8">
              <w:rPr>
                <w:lang w:val="en-US"/>
              </w:rPr>
              <w:t>DAT( Danish Air Transport)</w:t>
            </w:r>
          </w:p>
        </w:tc>
        <w:tc>
          <w:tcPr>
            <w:tcW w:w="3259" w:type="dxa"/>
          </w:tcPr>
          <w:p w:rsidR="00F30F9C" w:rsidRPr="002D35F8" w:rsidRDefault="00F30F9C" w:rsidP="004B2A2E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2.553</w:t>
            </w:r>
          </w:p>
        </w:tc>
        <w:tc>
          <w:tcPr>
            <w:tcW w:w="3260" w:type="dxa"/>
          </w:tcPr>
          <w:p w:rsidR="00F30F9C" w:rsidRPr="002D35F8" w:rsidRDefault="00F30F9C" w:rsidP="004B2A2E">
            <w:pPr>
              <w:jc w:val="right"/>
              <w:rPr>
                <w:lang w:val="en-US"/>
              </w:rPr>
            </w:pPr>
            <w:r w:rsidRPr="002D35F8">
              <w:rPr>
                <w:lang w:val="en-US"/>
              </w:rPr>
              <w:t>37</w:t>
            </w:r>
            <w:r w:rsidR="006F02C9">
              <w:rPr>
                <w:lang w:val="en-US"/>
              </w:rPr>
              <w:t xml:space="preserve"> (1</w:t>
            </w:r>
            <w:proofErr w:type="gramStart"/>
            <w:r w:rsidR="006F02C9">
              <w:rPr>
                <w:lang w:val="en-US"/>
              </w:rPr>
              <w:t>,</w:t>
            </w:r>
            <w:r w:rsidR="002D35F8" w:rsidRPr="002D35F8">
              <w:rPr>
                <w:lang w:val="en-US"/>
              </w:rPr>
              <w:t>45</w:t>
            </w:r>
            <w:proofErr w:type="gramEnd"/>
            <w:r w:rsidR="002D35F8" w:rsidRPr="002D35F8">
              <w:rPr>
                <w:lang w:val="en-US"/>
              </w:rPr>
              <w:t>%)</w:t>
            </w:r>
          </w:p>
        </w:tc>
      </w:tr>
    </w:tbl>
    <w:p w:rsidR="00F30F9C" w:rsidRPr="002D35F8" w:rsidRDefault="00F30F9C" w:rsidP="00670F67">
      <w:pPr>
        <w:rPr>
          <w:lang w:val="en-US"/>
        </w:rPr>
      </w:pPr>
    </w:p>
    <w:p w:rsidR="0053028A" w:rsidRDefault="0053028A">
      <w:hyperlink r:id="rId7" w:history="1">
        <w:r w:rsidRPr="0053028A">
          <w:rPr>
            <w:rStyle w:val="Hyperlink"/>
          </w:rPr>
          <w:t>SAS</w:t>
        </w:r>
      </w:hyperlink>
      <w:r w:rsidR="009C194C">
        <w:t xml:space="preserve"> og </w:t>
      </w:r>
      <w:hyperlink r:id="rId8" w:history="1">
        <w:proofErr w:type="spellStart"/>
        <w:r w:rsidR="009C194C" w:rsidRPr="009C194C">
          <w:rPr>
            <w:rStyle w:val="Hyperlink"/>
          </w:rPr>
          <w:t>RyanA</w:t>
        </w:r>
        <w:r w:rsidRPr="009C194C">
          <w:rPr>
            <w:rStyle w:val="Hyperlink"/>
          </w:rPr>
          <w:t>ir</w:t>
        </w:r>
        <w:proofErr w:type="spellEnd"/>
      </w:hyperlink>
      <w:r>
        <w:t xml:space="preserve"> har dermed klaret sig bedst ud af de større selskaber. </w:t>
      </w:r>
    </w:p>
    <w:p w:rsidR="00670F67" w:rsidRDefault="00925E0C">
      <w:r w:rsidRPr="002965FF">
        <w:t>Her vises</w:t>
      </w:r>
      <w:r w:rsidR="002466A2">
        <w:t xml:space="preserve"> </w:t>
      </w:r>
      <w:r w:rsidRPr="002965FF">
        <w:t>de selskaber der havde mere 100 flyvninger over sommeren, og med flest forsinkelser</w:t>
      </w:r>
      <w:r w:rsidR="002466A2">
        <w:t xml:space="preserve"> i forhold til antal flyvninger. </w:t>
      </w:r>
      <w:r w:rsidR="00C11B44">
        <w:t xml:space="preserve"> </w:t>
      </w:r>
      <w:r w:rsidR="002466A2">
        <w:t>Det er dermed de selskaber man kan forvente flest uregelmæssigheder med</w:t>
      </w:r>
      <w:r w:rsidR="00EF38CB">
        <w:t xml:space="preserve"> – i</w:t>
      </w:r>
      <w:r w:rsidR="00FF29D0">
        <w:t xml:space="preserve"> hvert fald set </w:t>
      </w:r>
      <w:r w:rsidR="00EF38CB">
        <w:t>over sommeren 2019</w:t>
      </w:r>
      <w:r w:rsidRPr="002965FF">
        <w:t>:</w:t>
      </w:r>
    </w:p>
    <w:tbl>
      <w:tblPr>
        <w:tblW w:w="96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442"/>
        <w:gridCol w:w="1442"/>
        <w:gridCol w:w="1442"/>
      </w:tblGrid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Adria</w:t>
            </w:r>
            <w:proofErr w:type="spellEnd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 Airways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204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32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15,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69%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Bulgaria</w:t>
            </w:r>
            <w:proofErr w:type="spellEnd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 Air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105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7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6,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67%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Delta Air Lines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161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6,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21%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Air China International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102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6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5,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88%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Braathens</w:t>
            </w:r>
            <w:proofErr w:type="spellEnd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 Regional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Aviation</w:t>
            </w:r>
            <w:proofErr w:type="spellEnd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105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4,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76%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LOT Polish Airlines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986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45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4,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56%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IBERIA EXPRESS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182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8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4,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40%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Wizz</w:t>
            </w:r>
            <w:proofErr w:type="spellEnd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 Air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980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35%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Air Greenland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247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2,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02%</w:t>
            </w:r>
            <w:proofErr w:type="gramEnd"/>
          </w:p>
        </w:tc>
      </w:tr>
      <w:tr w:rsidR="002965FF" w:rsidRPr="002965FF" w:rsidTr="004B2A2E">
        <w:trPr>
          <w:trHeight w:val="286"/>
        </w:trPr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Icelandair </w:t>
            </w:r>
            <w:proofErr w:type="spellStart"/>
            <w:r w:rsidRPr="00296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>flights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914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18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5FF" w:rsidRPr="002965FF" w:rsidRDefault="002965FF" w:rsidP="00296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1,</w:t>
            </w:r>
            <w:proofErr w:type="gramStart"/>
            <w:r w:rsidRPr="002965FF">
              <w:rPr>
                <w:rFonts w:ascii="Calibri" w:eastAsia="Times New Roman" w:hAnsi="Calibri" w:cs="Calibri"/>
                <w:color w:val="000000"/>
                <w:lang w:eastAsia="da-DK"/>
              </w:rPr>
              <w:t>97%</w:t>
            </w:r>
            <w:proofErr w:type="gramEnd"/>
          </w:p>
        </w:tc>
      </w:tr>
    </w:tbl>
    <w:p w:rsidR="002965FF" w:rsidRDefault="002965FF"/>
    <w:p w:rsidR="00F31A19" w:rsidRPr="002965FF" w:rsidRDefault="00F31A19">
      <w:r>
        <w:t>Kilde: flyjura.dk</w:t>
      </w:r>
    </w:p>
    <w:sectPr w:rsidR="00F31A19" w:rsidRPr="002965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67"/>
    <w:rsid w:val="00056197"/>
    <w:rsid w:val="002466A2"/>
    <w:rsid w:val="002478F3"/>
    <w:rsid w:val="002503AE"/>
    <w:rsid w:val="002965FF"/>
    <w:rsid w:val="002D35F8"/>
    <w:rsid w:val="002E372E"/>
    <w:rsid w:val="00332730"/>
    <w:rsid w:val="004B2A2E"/>
    <w:rsid w:val="0053028A"/>
    <w:rsid w:val="00535496"/>
    <w:rsid w:val="00572AAC"/>
    <w:rsid w:val="005A2C83"/>
    <w:rsid w:val="0063704C"/>
    <w:rsid w:val="00670F67"/>
    <w:rsid w:val="00676041"/>
    <w:rsid w:val="006F02C9"/>
    <w:rsid w:val="00862753"/>
    <w:rsid w:val="008C15C4"/>
    <w:rsid w:val="008C5BA7"/>
    <w:rsid w:val="008E73E1"/>
    <w:rsid w:val="00925E0C"/>
    <w:rsid w:val="00946618"/>
    <w:rsid w:val="009C194C"/>
    <w:rsid w:val="009E6A36"/>
    <w:rsid w:val="00B27674"/>
    <w:rsid w:val="00C11B44"/>
    <w:rsid w:val="00CE65D1"/>
    <w:rsid w:val="00D07456"/>
    <w:rsid w:val="00D6082B"/>
    <w:rsid w:val="00EF38CB"/>
    <w:rsid w:val="00F30F9C"/>
    <w:rsid w:val="00F31A19"/>
    <w:rsid w:val="00F552DB"/>
    <w:rsid w:val="00FD267C"/>
    <w:rsid w:val="00FF239A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F3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3028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2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F3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3028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2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jura.dk/flyforsinkelse/ryana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yjura.dk/flyforsinkelse/s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lyjura.dk/flyforsinkels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joacim</dc:creator>
  <cp:lastModifiedBy>joacim</cp:lastModifiedBy>
  <cp:revision>6</cp:revision>
  <dcterms:created xsi:type="dcterms:W3CDTF">2019-08-12T08:19:00Z</dcterms:created>
  <dcterms:modified xsi:type="dcterms:W3CDTF">2019-08-12T08:22:00Z</dcterms:modified>
</cp:coreProperties>
</file>